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9BF" w14:textId="0B98508B" w:rsidR="0023724B" w:rsidRDefault="0023724B" w:rsidP="008F6768">
      <w:pPr>
        <w:spacing w:before="300" w:after="2280"/>
        <w:ind w:right="-996"/>
        <w:jc w:val="right"/>
      </w:pPr>
      <w:r>
        <w:rPr>
          <w:noProof/>
        </w:rPr>
        <mc:AlternateContent>
          <mc:Choice Requires="wps">
            <w:drawing>
              <wp:anchor distT="0" distB="0" distL="114300" distR="114300" simplePos="0" relativeHeight="251663360" behindDoc="1" locked="0" layoutInCell="1" allowOverlap="1" wp14:anchorId="7126458C" wp14:editId="6D56A827">
                <wp:simplePos x="0" y="0"/>
                <wp:positionH relativeFrom="column">
                  <wp:posOffset>-1241425</wp:posOffset>
                </wp:positionH>
                <wp:positionV relativeFrom="page">
                  <wp:posOffset>9099550</wp:posOffset>
                </wp:positionV>
                <wp:extent cx="7541895" cy="1583690"/>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3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6D1A23" w14:textId="004C14FD" w:rsidR="00936DF2" w:rsidRPr="004200CC" w:rsidRDefault="00936DF2" w:rsidP="004200CC">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6458C" id="Rektangel 1" o:spid="_x0000_s1026" alt="&quot;&quot;" style="position:absolute;left:0;text-align:left;margin-left:-97.75pt;margin-top:716.5pt;width:593.85pt;height:124.7pt;z-index:-25165312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" fillcolor="#003651 [3204]" strokecolor="#001a28 [1604]" strokeweight="1pt">
                <v:textbox>
                  <w:txbxContent>
                    <w:p w14:paraId="3D6D1A23" w14:textId="004C14FD" w:rsidR="00936DF2" w:rsidRPr="004200CC" w:rsidRDefault="00936DF2" w:rsidP="004200CC">
                      <w:pPr>
                        <w:tabs>
                          <w:tab w:val="left" w:pos="1701"/>
                          <w:tab w:val="left" w:pos="9781"/>
                        </w:tabs>
                        <w:spacing w:before="0" w:after="0" w:line="240" w:lineRule="auto"/>
                        <w:rPr>
                          <w:sz w:val="2"/>
                          <w:szCs w:val="2"/>
                        </w:rPr>
                      </w:pPr>
                    </w:p>
                  </w:txbxContent>
                </v:textbox>
                <w10:wrap anchory="page"/>
              </v:rect>
            </w:pict>
          </mc:Fallback>
        </mc:AlternateContent>
      </w:r>
      <w:r>
        <w:rPr>
          <w:noProof/>
        </w:rPr>
        <w:drawing>
          <wp:inline distT="0" distB="0" distL="0" distR="0" wp14:anchorId="30A9A5AC" wp14:editId="5F82EB22">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En bild som visar text&#10;&#10;Automatiskt genererad beskrivn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sdt>
      <w:sdtPr>
        <w:rPr>
          <w:rStyle w:val="Rubrik1Char"/>
          <w:b/>
          <w:sz w:val="56"/>
          <w:szCs w:val="56"/>
          <w:lang w:val="en-US"/>
        </w:rPr>
        <w:alias w:val="Rubrik"/>
        <w:id w:val="-958338334"/>
        <w:dataBinding w:prefixMappings="xmlns:ns0='http://schemas.openxmlformats.org/package/2006/metadata/core-properties' xmlns:ns1='http://purl.org/dc/elements/1.1/'" w:xpath="/ns0:coreProperties[1]/ns1:title[1]" w:storeItemID="{6C3C8BC8-F283-45AE-878A-BAB7291924A1}"/>
        <w:text/>
      </w:sdtPr>
      <w:sdtEndPr>
        <w:rPr>
          <w:rStyle w:val="Rubrik1Char"/>
        </w:rPr>
      </w:sdtEndPr>
      <w:sdtContent>
        <w:p w14:paraId="571DF284" w14:textId="77777777" w:rsidR="0023724B" w:rsidRPr="006F49D7" w:rsidRDefault="0023724B" w:rsidP="008F6768">
          <w:pPr>
            <w:pStyle w:val="Rubrik1"/>
            <w:rPr>
              <w:rStyle w:val="Rubrik1Char"/>
              <w:b/>
              <w:sz w:val="56"/>
              <w:szCs w:val="56"/>
              <w:lang w:val="en-US"/>
            </w:rPr>
          </w:pPr>
          <w:r w:rsidRPr="006F49D7">
            <w:rPr>
              <w:rStyle w:val="Rubrik1Char"/>
              <w:b/>
              <w:sz w:val="56"/>
              <w:szCs w:val="56"/>
              <w:lang w:val="en-US"/>
            </w:rPr>
            <w:t>Agreement for joint personal data controllership</w:t>
          </w:r>
        </w:p>
      </w:sdtContent>
    </w:sdt>
    <w:sdt>
      <w:sdtPr>
        <w:rPr>
          <w:rFonts w:asciiTheme="majorHAnsi" w:eastAsiaTheme="majorEastAsia" w:hAnsiTheme="majorHAnsi" w:cstheme="majorBidi"/>
          <w:color w:val="003651" w:themeColor="text2"/>
          <w:sz w:val="32"/>
          <w:szCs w:val="32"/>
        </w:rPr>
        <w:alias w:val="Underrubrik"/>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613F0B5E" w14:textId="77777777" w:rsidR="0023724B" w:rsidRDefault="0023724B" w:rsidP="004200CC">
          <w:pPr>
            <w:pStyle w:val="Underrubrik"/>
            <w:ind w:left="173"/>
            <w:rPr>
              <w:rFonts w:asciiTheme="majorHAnsi" w:eastAsiaTheme="majorEastAsia" w:hAnsiTheme="majorHAnsi" w:cstheme="majorBidi"/>
              <w:color w:val="003651" w:themeColor="text2"/>
              <w:sz w:val="32"/>
              <w:szCs w:val="32"/>
            </w:rPr>
          </w:pPr>
          <w:r>
            <w:rPr>
              <w:rFonts w:asciiTheme="majorHAnsi" w:eastAsiaTheme="majorEastAsia" w:hAnsiTheme="majorHAnsi" w:cstheme="majorBidi"/>
              <w:color w:val="003651" w:themeColor="text2"/>
              <w:sz w:val="32"/>
              <w:szCs w:val="32"/>
            </w:rPr>
            <w:t xml:space="preserve">     </w:t>
          </w:r>
        </w:p>
      </w:sdtContent>
    </w:sdt>
    <w:p w14:paraId="52FD7A63" w14:textId="77777777" w:rsidR="0023724B" w:rsidRPr="004200CC" w:rsidRDefault="0023724B" w:rsidP="00EF086C">
      <w:pPr>
        <w:tabs>
          <w:tab w:val="left" w:pos="1701"/>
          <w:tab w:val="left" w:pos="9781"/>
        </w:tabs>
        <w:spacing w:before="8880" w:after="360" w:line="240" w:lineRule="auto"/>
        <w:ind w:left="-1458" w:right="-672" w:firstLine="171"/>
        <w:jc w:val="center"/>
        <w:rPr>
          <w:b/>
          <w:bCs/>
          <w:color w:val="FFFFFF" w:themeColor="background1"/>
        </w:rPr>
      </w:pPr>
      <w:r w:rsidRPr="004200CC">
        <w:rPr>
          <w:b/>
          <w:bCs/>
          <w:color w:val="FFFFFF" w:themeColor="background1"/>
        </w:rPr>
        <w:t>Detta dokument är framtaget och kvalitetssäkrat av Kliniska Studier Sverige.</w:t>
      </w:r>
    </w:p>
    <w:p w14:paraId="614D01E1" w14:textId="77777777" w:rsidR="0023724B" w:rsidRPr="004200CC" w:rsidRDefault="0023724B" w:rsidP="004200CC">
      <w:pPr>
        <w:tabs>
          <w:tab w:val="left" w:pos="1701"/>
          <w:tab w:val="left" w:pos="9781"/>
        </w:tabs>
        <w:spacing w:before="0" w:after="0" w:line="240" w:lineRule="auto"/>
        <w:ind w:left="-630"/>
        <w:jc w:val="center"/>
        <w:rPr>
          <w:color w:val="FFFFFF" w:themeColor="background1"/>
        </w:rPr>
      </w:pPr>
      <w:r w:rsidRPr="004200CC">
        <w:rPr>
          <w:color w:val="FFFFFF" w:themeColor="background1"/>
        </w:rPr>
        <w:t xml:space="preserve">Vi utvecklar och erbjuder stöd för kliniska studier i hälso- och sjukvården. </w:t>
      </w:r>
    </w:p>
    <w:p w14:paraId="4F642B9F" w14:textId="77777777" w:rsidR="0023724B" w:rsidRPr="004200CC" w:rsidRDefault="0023724B" w:rsidP="004200CC">
      <w:pPr>
        <w:tabs>
          <w:tab w:val="left" w:pos="1701"/>
          <w:tab w:val="left" w:pos="9781"/>
        </w:tabs>
        <w:spacing w:before="0" w:after="0" w:line="240" w:lineRule="auto"/>
        <w:ind w:left="-1062" w:firstLine="459"/>
        <w:jc w:val="center"/>
        <w:rPr>
          <w:color w:val="FFFFFF" w:themeColor="background1"/>
        </w:rPr>
        <w:sectPr w:rsidR="0023724B" w:rsidRPr="004200CC" w:rsidSect="00936DF2">
          <w:headerReference w:type="default" r:id="rId13"/>
          <w:footerReference w:type="default" r:id="rId14"/>
          <w:headerReference w:type="first" r:id="rId15"/>
          <w:footerReference w:type="first" r:id="rId16"/>
          <w:pgSz w:w="11906" w:h="16838"/>
          <w:pgMar w:top="0" w:right="1411" w:bottom="0" w:left="1987" w:header="0" w:footer="0" w:gutter="0"/>
          <w:pgNumType w:start="0"/>
          <w:cols w:space="708"/>
          <w:titlePg/>
          <w:docGrid w:linePitch="360"/>
        </w:sectPr>
      </w:pPr>
      <w:r w:rsidRPr="004200CC">
        <w:rPr>
          <w:color w:val="FFFFFF" w:themeColor="background1"/>
        </w:rPr>
        <w:t>Stödet vi erbjuder ger goda förutsättningar för kliniska studier av hög kvalitet.</w:t>
      </w:r>
    </w:p>
    <w:p w14:paraId="4648EDD7" w14:textId="6723DEED" w:rsidR="00A32C68" w:rsidRPr="006E67E2" w:rsidRDefault="00FF3008" w:rsidP="004200CC">
      <w:pPr>
        <w:pStyle w:val="Heading21"/>
      </w:pPr>
      <w:r w:rsidRPr="006E67E2">
        <w:lastRenderedPageBreak/>
        <w:t>About the document</w:t>
      </w:r>
    </w:p>
    <w:p w14:paraId="3240C712" w14:textId="77777777" w:rsidR="00C332D1" w:rsidRDefault="003F7BE2" w:rsidP="00936DF2">
      <w:pPr>
        <w:spacing w:before="140"/>
        <w:rPr>
          <w:lang w:val="en-US"/>
        </w:rPr>
        <w:sectPr w:rsidR="00C332D1" w:rsidSect="002A743D">
          <w:headerReference w:type="default" r:id="rId17"/>
          <w:footerReference w:type="default" r:id="rId18"/>
          <w:headerReference w:type="first" r:id="rId19"/>
          <w:footerReference w:type="first" r:id="rId20"/>
          <w:pgSz w:w="11906" w:h="16838"/>
          <w:pgMar w:top="1987" w:right="1411" w:bottom="1411" w:left="1987" w:header="706" w:footer="562" w:gutter="0"/>
          <w:pgNumType w:start="0"/>
          <w:cols w:space="708"/>
          <w:titlePg/>
          <w:docGrid w:linePitch="360"/>
        </w:sectPr>
      </w:pPr>
      <w:sdt>
        <w:sdtPr>
          <w:rPr>
            <w:lang w:val="en-US"/>
          </w:rPr>
          <w:alias w:val="Titel"/>
          <w:tag w:val=""/>
          <w:id w:val="-1677877518"/>
          <w:placeholder>
            <w:docPart w:val="5AAE394C3B104B299FF69F2804EC56C7"/>
          </w:placeholder>
          <w:dataBinding w:prefixMappings="xmlns:ns0='http://purl.org/dc/elements/1.1/' xmlns:ns1='http://schemas.openxmlformats.org/package/2006/metadata/core-properties' " w:xpath="/ns1:coreProperties[1]/ns0:title[1]" w:storeItemID="{6C3C8BC8-F283-45AE-878A-BAB7291924A1}"/>
          <w:text/>
        </w:sdtPr>
        <w:sdtEndPr/>
        <w:sdtContent>
          <w:r w:rsidR="00923112" w:rsidRPr="00FF3008">
            <w:rPr>
              <w:lang w:val="en-US"/>
            </w:rPr>
            <w:t>Agreement for joint personal data controllership</w:t>
          </w:r>
        </w:sdtContent>
      </w:sdt>
      <w:r w:rsidR="00A32C68" w:rsidRPr="00FF3008">
        <w:rPr>
          <w:lang w:val="en-US"/>
        </w:rPr>
        <w:t xml:space="preserve"> </w:t>
      </w:r>
      <w:r w:rsidR="00FF3008">
        <w:rPr>
          <w:lang w:val="en-US"/>
        </w:rPr>
        <w:t>was published</w:t>
      </w:r>
      <w:r w:rsidR="00A32C68" w:rsidRPr="00FF3008">
        <w:rPr>
          <w:lang w:val="en-US"/>
        </w:rPr>
        <w:t xml:space="preserve"> </w:t>
      </w:r>
      <w:r w:rsidR="00923112" w:rsidRPr="00FF3008">
        <w:rPr>
          <w:lang w:val="en-US"/>
        </w:rPr>
        <w:t>2022-03-21</w:t>
      </w:r>
      <w:r w:rsidR="00A32C68" w:rsidRPr="00FF3008">
        <w:rPr>
          <w:lang w:val="en-US"/>
        </w:rPr>
        <w:t>.</w:t>
      </w:r>
      <w:r w:rsidR="0045208F">
        <w:rPr>
          <w:lang w:val="en-US"/>
        </w:rPr>
        <w:t xml:space="preserve"> </w:t>
      </w:r>
      <w:r w:rsidR="00FF3008">
        <w:rPr>
          <w:lang w:val="en-US"/>
        </w:rPr>
        <w:t>This is version 1.0.</w:t>
      </w:r>
      <w:bookmarkStart w:id="0" w:name="_Toc102943052"/>
      <w:bookmarkStart w:id="1" w:name="_Toc103014316"/>
    </w:p>
    <w:p w14:paraId="3146014C" w14:textId="60846F73" w:rsidR="00923112" w:rsidRPr="002A743D" w:rsidRDefault="00923112" w:rsidP="002A743D">
      <w:pPr>
        <w:pStyle w:val="Heading21"/>
        <w:spacing w:before="3160" w:line="240" w:lineRule="auto"/>
        <w:jc w:val="center"/>
        <w:rPr>
          <w:sz w:val="64"/>
          <w:szCs w:val="64"/>
        </w:rPr>
      </w:pPr>
      <w:r w:rsidRPr="002A743D">
        <w:rPr>
          <w:sz w:val="64"/>
          <w:szCs w:val="64"/>
        </w:rPr>
        <w:lastRenderedPageBreak/>
        <w:t>Agreement for joint personal data controllership</w:t>
      </w:r>
      <w:bookmarkEnd w:id="0"/>
      <w:bookmarkEnd w:id="1"/>
    </w:p>
    <w:p w14:paraId="277D78AB" w14:textId="77777777" w:rsidR="00923112" w:rsidRPr="00923112" w:rsidRDefault="00923112" w:rsidP="000556EF">
      <w:pPr>
        <w:spacing w:before="680" w:line="276" w:lineRule="auto"/>
        <w:jc w:val="center"/>
        <w:rPr>
          <w:rFonts w:ascii="Gill Sans MT" w:hAnsi="Gill Sans MT"/>
          <w:sz w:val="22"/>
          <w:lang w:val="en-US"/>
        </w:rPr>
      </w:pPr>
      <w:r w:rsidRPr="00923112">
        <w:rPr>
          <w:rFonts w:ascii="Gill Sans MT" w:hAnsi="Gill Sans MT"/>
          <w:sz w:val="22"/>
          <w:lang w:val="en-US"/>
        </w:rPr>
        <w:t>between</w:t>
      </w:r>
    </w:p>
    <w:p w14:paraId="58DE004E" w14:textId="77777777" w:rsidR="00923112" w:rsidRPr="00923112" w:rsidRDefault="00923112" w:rsidP="00155979">
      <w:pPr>
        <w:spacing w:before="700" w:line="276" w:lineRule="auto"/>
        <w:jc w:val="center"/>
        <w:rPr>
          <w:rFonts w:ascii="Gill Sans MT" w:hAnsi="Gill Sans MT"/>
          <w:sz w:val="36"/>
          <w:szCs w:val="36"/>
          <w:lang w:val="en-US"/>
        </w:rPr>
      </w:pPr>
      <w:r w:rsidRPr="00923112">
        <w:rPr>
          <w:rFonts w:ascii="Gill Sans MT" w:hAnsi="Gill Sans MT"/>
          <w:sz w:val="36"/>
          <w:szCs w:val="36"/>
          <w:lang w:val="en-US"/>
        </w:rPr>
        <w:t>[</w:t>
      </w:r>
      <w:r w:rsidRPr="00923112">
        <w:rPr>
          <w:rFonts w:ascii="Gill Sans MT" w:hAnsi="Gill Sans MT"/>
          <w:sz w:val="36"/>
          <w:szCs w:val="36"/>
          <w:highlight w:val="yellow"/>
          <w:lang w:val="en-US"/>
        </w:rPr>
        <w:t>Party A</w:t>
      </w:r>
      <w:r w:rsidRPr="00923112">
        <w:rPr>
          <w:rFonts w:ascii="Gill Sans MT" w:hAnsi="Gill Sans MT"/>
          <w:sz w:val="36"/>
          <w:szCs w:val="36"/>
          <w:lang w:val="en-US"/>
        </w:rPr>
        <w:t>]</w:t>
      </w:r>
    </w:p>
    <w:p w14:paraId="46D86EB7" w14:textId="77777777" w:rsidR="00923112" w:rsidRPr="00923112" w:rsidRDefault="00923112" w:rsidP="00B56091">
      <w:pPr>
        <w:spacing w:before="700" w:line="276" w:lineRule="auto"/>
        <w:jc w:val="center"/>
        <w:rPr>
          <w:rFonts w:ascii="Gill Sans MT" w:hAnsi="Gill Sans MT"/>
          <w:sz w:val="22"/>
          <w:lang w:val="en-US"/>
        </w:rPr>
      </w:pPr>
      <w:r w:rsidRPr="00923112">
        <w:rPr>
          <w:rFonts w:ascii="Gill Sans MT" w:hAnsi="Gill Sans MT"/>
          <w:sz w:val="22"/>
          <w:lang w:val="en-US"/>
        </w:rPr>
        <w:t>and</w:t>
      </w:r>
    </w:p>
    <w:p w14:paraId="6C519DD5" w14:textId="77777777" w:rsidR="00923112" w:rsidRPr="00923112" w:rsidRDefault="00923112" w:rsidP="0016111C">
      <w:pPr>
        <w:spacing w:before="700" w:line="276" w:lineRule="auto"/>
        <w:jc w:val="center"/>
        <w:rPr>
          <w:rFonts w:ascii="Gill Sans MT" w:hAnsi="Gill Sans MT"/>
          <w:sz w:val="36"/>
          <w:szCs w:val="36"/>
          <w:lang w:val="en-US"/>
        </w:rPr>
      </w:pPr>
      <w:r w:rsidRPr="00923112">
        <w:rPr>
          <w:rFonts w:ascii="Gill Sans MT" w:hAnsi="Gill Sans MT"/>
          <w:sz w:val="36"/>
          <w:szCs w:val="36"/>
          <w:lang w:val="en-US"/>
        </w:rPr>
        <w:t>[</w:t>
      </w:r>
      <w:r w:rsidRPr="00923112">
        <w:rPr>
          <w:rFonts w:ascii="Gill Sans MT" w:hAnsi="Gill Sans MT"/>
          <w:sz w:val="36"/>
          <w:szCs w:val="36"/>
          <w:highlight w:val="yellow"/>
          <w:lang w:val="en-US"/>
        </w:rPr>
        <w:t>Party B</w:t>
      </w:r>
      <w:r w:rsidRPr="00923112">
        <w:rPr>
          <w:rFonts w:ascii="Gill Sans MT" w:hAnsi="Gill Sans MT"/>
          <w:sz w:val="36"/>
          <w:szCs w:val="36"/>
          <w:lang w:val="en-US"/>
        </w:rPr>
        <w:t>]</w:t>
      </w:r>
    </w:p>
    <w:p w14:paraId="0B288905" w14:textId="77777777" w:rsidR="00936DF2" w:rsidRDefault="00923112" w:rsidP="0065364F">
      <w:pPr>
        <w:tabs>
          <w:tab w:val="left" w:pos="1873"/>
          <w:tab w:val="center" w:pos="4533"/>
        </w:tabs>
        <w:spacing w:before="680" w:line="276" w:lineRule="auto"/>
        <w:ind w:left="3870"/>
        <w:rPr>
          <w:rFonts w:ascii="Gill Sans MT" w:hAnsi="Gill Sans MT"/>
          <w:sz w:val="22"/>
          <w:highlight w:val="yellow"/>
          <w:lang w:val="en-US"/>
        </w:rPr>
        <w:sectPr w:rsidR="00936DF2" w:rsidSect="002A743D">
          <w:headerReference w:type="first" r:id="rId21"/>
          <w:footerReference w:type="first" r:id="rId22"/>
          <w:pgSz w:w="11906" w:h="16838"/>
          <w:pgMar w:top="1417" w:right="1417" w:bottom="1417" w:left="1417" w:header="709" w:footer="567" w:gutter="0"/>
          <w:pgNumType w:start="1"/>
          <w:cols w:space="708"/>
          <w:titlePg/>
          <w:docGrid w:linePitch="360"/>
        </w:sectPr>
      </w:pPr>
      <w:r w:rsidRPr="00923112">
        <w:rPr>
          <w:rFonts w:ascii="Gill Sans MT" w:hAnsi="Gill Sans MT"/>
          <w:sz w:val="22"/>
          <w:lang w:val="en-US"/>
        </w:rPr>
        <w:t>20</w:t>
      </w:r>
      <w:r w:rsidRPr="00923112">
        <w:rPr>
          <w:rFonts w:ascii="Gill Sans MT" w:hAnsi="Gill Sans MT"/>
          <w:sz w:val="22"/>
          <w:highlight w:val="yellow"/>
          <w:lang w:val="en-US"/>
        </w:rPr>
        <w:t>YY-MM-DD</w:t>
      </w:r>
    </w:p>
    <w:p w14:paraId="7612C63E" w14:textId="0703A0FA" w:rsidR="00562CDF" w:rsidRPr="00CB4B87" w:rsidRDefault="00A11F43" w:rsidP="002A743D">
      <w:pPr>
        <w:pStyle w:val="Heading21"/>
        <w:spacing w:after="0"/>
        <w:rPr>
          <w:b w:val="0"/>
          <w:bCs w:val="0"/>
        </w:rPr>
      </w:pPr>
      <w:r w:rsidRPr="00CB4B87">
        <w:rPr>
          <w:b w:val="0"/>
          <w:bCs w:val="0"/>
        </w:rPr>
        <w:lastRenderedPageBreak/>
        <w:t>Table of Contents</w:t>
      </w:r>
    </w:p>
    <w:p w14:paraId="7A1A56ED" w14:textId="79F4A4F0" w:rsidR="00120924" w:rsidRPr="000D7DA8" w:rsidRDefault="00400E47">
      <w:pPr>
        <w:pStyle w:val="Innehll1"/>
        <w:rPr>
          <w:rFonts w:asciiTheme="minorHAnsi" w:eastAsiaTheme="minorEastAsia" w:hAnsiTheme="minorHAnsi" w:cstheme="minorBidi"/>
          <w:noProof/>
          <w:sz w:val="22"/>
          <w:lang w:val="en-US" w:eastAsia="en-US"/>
        </w:rPr>
      </w:pPr>
      <w:r>
        <w:fldChar w:fldCharType="begin"/>
      </w:r>
      <w:r>
        <w:instrText xml:space="preserve"> TOC \h \z \u \t "Heading 2,1" </w:instrText>
      </w:r>
      <w:r>
        <w:fldChar w:fldCharType="separate"/>
      </w:r>
      <w:hyperlink w:anchor="_Toc112701945" w:history="1">
        <w:r w:rsidR="00120924" w:rsidRPr="000D7DA8">
          <w:rPr>
            <w:rStyle w:val="Hyperlnk"/>
            <w:noProof/>
            <w:lang w:val="en-US"/>
          </w:rPr>
          <w:t>1.</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Background and purpose</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_Toc112701945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3</w:t>
        </w:r>
        <w:r w:rsidR="00120924" w:rsidRPr="000D7DA8">
          <w:rPr>
            <w:noProof/>
            <w:webHidden/>
            <w:lang w:val="en-US"/>
          </w:rPr>
          <w:fldChar w:fldCharType="end"/>
        </w:r>
      </w:hyperlink>
    </w:p>
    <w:p w14:paraId="5F85B00E" w14:textId="546D2E3B" w:rsidR="00120924" w:rsidRPr="000D7DA8" w:rsidRDefault="003F7BE2">
      <w:pPr>
        <w:pStyle w:val="Innehll1"/>
        <w:rPr>
          <w:rFonts w:asciiTheme="minorHAnsi" w:eastAsiaTheme="minorEastAsia" w:hAnsiTheme="minorHAnsi" w:cstheme="minorBidi"/>
          <w:noProof/>
          <w:sz w:val="22"/>
          <w:lang w:val="en-US" w:eastAsia="en-US"/>
        </w:rPr>
      </w:pPr>
      <w:hyperlink w:anchor="_Toc112701946" w:history="1">
        <w:r w:rsidR="00120924" w:rsidRPr="000D7DA8">
          <w:rPr>
            <w:rStyle w:val="Hyperlnk"/>
            <w:noProof/>
            <w:lang w:val="en-US"/>
          </w:rPr>
          <w:t>2.</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Definitions and interpretation</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_Toc112701946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3</w:t>
        </w:r>
        <w:r w:rsidR="00120924" w:rsidRPr="000D7DA8">
          <w:rPr>
            <w:noProof/>
            <w:webHidden/>
            <w:lang w:val="en-US"/>
          </w:rPr>
          <w:fldChar w:fldCharType="end"/>
        </w:r>
      </w:hyperlink>
    </w:p>
    <w:p w14:paraId="26BFE52D" w14:textId="20BDFD2E" w:rsidR="00120924" w:rsidRPr="000D7DA8" w:rsidRDefault="003F7BE2">
      <w:pPr>
        <w:pStyle w:val="Innehll1"/>
        <w:rPr>
          <w:rFonts w:asciiTheme="minorHAnsi" w:eastAsiaTheme="minorEastAsia" w:hAnsiTheme="minorHAnsi" w:cstheme="minorBidi"/>
          <w:noProof/>
          <w:sz w:val="22"/>
          <w:lang w:val="en-US" w:eastAsia="en-US"/>
        </w:rPr>
      </w:pPr>
      <w:hyperlink w:anchor="_Toc112701947" w:history="1">
        <w:r w:rsidR="00120924" w:rsidRPr="000D7DA8">
          <w:rPr>
            <w:rStyle w:val="Hyperlnk"/>
            <w:noProof/>
            <w:lang w:val="en-US"/>
          </w:rPr>
          <w:t>3.</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Processing of personal data</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_Toc112701947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4</w:t>
        </w:r>
        <w:r w:rsidR="00120924" w:rsidRPr="000D7DA8">
          <w:rPr>
            <w:noProof/>
            <w:webHidden/>
            <w:lang w:val="en-US"/>
          </w:rPr>
          <w:fldChar w:fldCharType="end"/>
        </w:r>
      </w:hyperlink>
    </w:p>
    <w:p w14:paraId="2AC7ABE4" w14:textId="0DFAD31D" w:rsidR="00120924" w:rsidRPr="000D7DA8" w:rsidRDefault="003F7BE2">
      <w:pPr>
        <w:pStyle w:val="Innehll1"/>
        <w:rPr>
          <w:rFonts w:asciiTheme="minorHAnsi" w:eastAsiaTheme="minorEastAsia" w:hAnsiTheme="minorHAnsi" w:cstheme="minorBidi"/>
          <w:noProof/>
          <w:sz w:val="22"/>
          <w:lang w:val="en-US" w:eastAsia="en-US"/>
        </w:rPr>
      </w:pPr>
      <w:hyperlink w:anchor="_Toc112701948" w:history="1">
        <w:r w:rsidR="00120924" w:rsidRPr="000D7DA8">
          <w:rPr>
            <w:rStyle w:val="Hyperlnk"/>
            <w:noProof/>
            <w:lang w:val="en-US"/>
          </w:rPr>
          <w:t>4.</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Ethical review</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_Toc112701948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5</w:t>
        </w:r>
        <w:r w:rsidR="00120924" w:rsidRPr="000D7DA8">
          <w:rPr>
            <w:noProof/>
            <w:webHidden/>
            <w:lang w:val="en-US"/>
          </w:rPr>
          <w:fldChar w:fldCharType="end"/>
        </w:r>
      </w:hyperlink>
    </w:p>
    <w:p w14:paraId="491A1AAD" w14:textId="239239ED" w:rsidR="00120924" w:rsidRPr="000D7DA8" w:rsidRDefault="003F7BE2">
      <w:pPr>
        <w:pStyle w:val="Innehll1"/>
        <w:rPr>
          <w:rFonts w:asciiTheme="minorHAnsi" w:eastAsiaTheme="minorEastAsia" w:hAnsiTheme="minorHAnsi" w:cstheme="minorBidi"/>
          <w:noProof/>
          <w:sz w:val="22"/>
          <w:lang w:val="en-US" w:eastAsia="en-US"/>
        </w:rPr>
      </w:pPr>
      <w:hyperlink w:anchor="_Toc112701949" w:history="1">
        <w:r w:rsidR="00120924" w:rsidRPr="000D7DA8">
          <w:rPr>
            <w:rStyle w:val="Hyperlnk"/>
            <w:noProof/>
            <w:lang w:val="en-US"/>
          </w:rPr>
          <w:t>5.</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Rights of the data subjects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_Toc112701949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5</w:t>
        </w:r>
        <w:r w:rsidR="00120924" w:rsidRPr="000D7DA8">
          <w:rPr>
            <w:noProof/>
            <w:webHidden/>
            <w:lang w:val="en-US"/>
          </w:rPr>
          <w:fldChar w:fldCharType="end"/>
        </w:r>
      </w:hyperlink>
    </w:p>
    <w:p w14:paraId="097E3851" w14:textId="3DDB79AF" w:rsidR="00120924" w:rsidRPr="000D7DA8" w:rsidRDefault="003F7BE2">
      <w:pPr>
        <w:pStyle w:val="Innehll1"/>
        <w:rPr>
          <w:rFonts w:asciiTheme="minorHAnsi" w:eastAsiaTheme="minorEastAsia" w:hAnsiTheme="minorHAnsi" w:cstheme="minorBidi"/>
          <w:noProof/>
          <w:sz w:val="22"/>
          <w:lang w:val="en-US" w:eastAsia="en-US"/>
        </w:rPr>
      </w:pPr>
      <w:hyperlink w:anchor="_Toc112701950" w:history="1">
        <w:r w:rsidR="00120924" w:rsidRPr="000D7DA8">
          <w:rPr>
            <w:rStyle w:val="Hyperlnk"/>
            <w:noProof/>
            <w:lang w:val="en-US"/>
          </w:rPr>
          <w:t>6.</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Technical and organizational security measures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_Toc112701950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5</w:t>
        </w:r>
        <w:r w:rsidR="00120924" w:rsidRPr="000D7DA8">
          <w:rPr>
            <w:noProof/>
            <w:webHidden/>
            <w:lang w:val="en-US"/>
          </w:rPr>
          <w:fldChar w:fldCharType="end"/>
        </w:r>
      </w:hyperlink>
    </w:p>
    <w:p w14:paraId="4A432A41" w14:textId="447F8D02" w:rsidR="00120924" w:rsidRPr="000D7DA8" w:rsidRDefault="003F7BE2">
      <w:pPr>
        <w:pStyle w:val="Innehll1"/>
        <w:rPr>
          <w:rFonts w:asciiTheme="minorHAnsi" w:eastAsiaTheme="minorEastAsia" w:hAnsiTheme="minorHAnsi" w:cstheme="minorBidi"/>
          <w:noProof/>
          <w:sz w:val="22"/>
          <w:lang w:val="en-US" w:eastAsia="en-US"/>
        </w:rPr>
      </w:pPr>
      <w:hyperlink w:anchor="_Toc112701951" w:history="1">
        <w:r w:rsidR="00120924" w:rsidRPr="000D7DA8">
          <w:rPr>
            <w:rStyle w:val="Hyperlnk"/>
            <w:noProof/>
            <w:lang w:val="en-US"/>
          </w:rPr>
          <w:t>7.</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Data Protection Impact Assessment (DPIA)</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_Toc112701951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6</w:t>
        </w:r>
        <w:r w:rsidR="00120924" w:rsidRPr="000D7DA8">
          <w:rPr>
            <w:noProof/>
            <w:webHidden/>
            <w:lang w:val="en-US"/>
          </w:rPr>
          <w:fldChar w:fldCharType="end"/>
        </w:r>
      </w:hyperlink>
    </w:p>
    <w:p w14:paraId="0DB8ED9D" w14:textId="5C943446" w:rsidR="00120924" w:rsidRPr="000D7DA8" w:rsidRDefault="003F7BE2">
      <w:pPr>
        <w:pStyle w:val="Innehll1"/>
        <w:rPr>
          <w:rFonts w:asciiTheme="minorHAnsi" w:eastAsiaTheme="minorEastAsia" w:hAnsiTheme="minorHAnsi" w:cstheme="minorBidi"/>
          <w:noProof/>
          <w:sz w:val="22"/>
          <w:lang w:val="en-US" w:eastAsia="en-US"/>
        </w:rPr>
      </w:pPr>
      <w:hyperlink w:anchor="_Toc112701952" w:history="1">
        <w:r w:rsidR="00120924" w:rsidRPr="000D7DA8">
          <w:rPr>
            <w:rStyle w:val="Hyperlnk"/>
            <w:noProof/>
            <w:lang w:val="en-US"/>
          </w:rPr>
          <w:t>8.</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Responsible supervisory authority for data protection</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_Toc112701952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6</w:t>
        </w:r>
        <w:r w:rsidR="00120924" w:rsidRPr="000D7DA8">
          <w:rPr>
            <w:noProof/>
            <w:webHidden/>
            <w:lang w:val="en-US"/>
          </w:rPr>
          <w:fldChar w:fldCharType="end"/>
        </w:r>
      </w:hyperlink>
    </w:p>
    <w:p w14:paraId="0A804607" w14:textId="7DC8C944" w:rsidR="00120924" w:rsidRPr="000D7DA8" w:rsidRDefault="003F7BE2">
      <w:pPr>
        <w:pStyle w:val="Innehll1"/>
        <w:rPr>
          <w:rFonts w:asciiTheme="minorHAnsi" w:eastAsiaTheme="minorEastAsia" w:hAnsiTheme="minorHAnsi" w:cstheme="minorBidi"/>
          <w:noProof/>
          <w:sz w:val="22"/>
          <w:lang w:val="en-US" w:eastAsia="en-US"/>
        </w:rPr>
      </w:pPr>
      <w:hyperlink w:anchor="_Toc112701953" w:history="1">
        <w:r w:rsidR="00120924" w:rsidRPr="000D7DA8">
          <w:rPr>
            <w:rStyle w:val="Hyperlnk"/>
            <w:noProof/>
            <w:lang w:val="en-US"/>
          </w:rPr>
          <w:t>9.</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Personal data breach</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_Toc112701953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7</w:t>
        </w:r>
        <w:r w:rsidR="00120924" w:rsidRPr="000D7DA8">
          <w:rPr>
            <w:noProof/>
            <w:webHidden/>
            <w:lang w:val="en-US"/>
          </w:rPr>
          <w:fldChar w:fldCharType="end"/>
        </w:r>
      </w:hyperlink>
    </w:p>
    <w:p w14:paraId="760B318A" w14:textId="7B4095DE" w:rsidR="00120924" w:rsidRPr="000D7DA8" w:rsidRDefault="003F7BE2">
      <w:pPr>
        <w:pStyle w:val="Innehll1"/>
        <w:rPr>
          <w:rFonts w:asciiTheme="minorHAnsi" w:eastAsiaTheme="minorEastAsia" w:hAnsiTheme="minorHAnsi" w:cstheme="minorBidi"/>
          <w:noProof/>
          <w:sz w:val="22"/>
          <w:lang w:val="en-US" w:eastAsia="en-US"/>
        </w:rPr>
      </w:pPr>
      <w:hyperlink w:anchor="_Toc112701954" w:history="1">
        <w:r w:rsidR="00120924" w:rsidRPr="000D7DA8">
          <w:rPr>
            <w:rStyle w:val="Hyperlnk"/>
            <w:noProof/>
            <w:lang w:val="en-US"/>
          </w:rPr>
          <w:t>10.</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Data processor</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_Toc112701954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7</w:t>
        </w:r>
        <w:r w:rsidR="00120924" w:rsidRPr="000D7DA8">
          <w:rPr>
            <w:noProof/>
            <w:webHidden/>
            <w:lang w:val="en-US"/>
          </w:rPr>
          <w:fldChar w:fldCharType="end"/>
        </w:r>
      </w:hyperlink>
    </w:p>
    <w:p w14:paraId="26786169" w14:textId="67CD3FC8" w:rsidR="00120924" w:rsidRPr="000D7DA8" w:rsidRDefault="003F7BE2">
      <w:pPr>
        <w:pStyle w:val="Innehll1"/>
        <w:rPr>
          <w:rFonts w:asciiTheme="minorHAnsi" w:eastAsiaTheme="minorEastAsia" w:hAnsiTheme="minorHAnsi" w:cstheme="minorBidi"/>
          <w:noProof/>
          <w:sz w:val="22"/>
          <w:lang w:val="en-US" w:eastAsia="en-US"/>
        </w:rPr>
      </w:pPr>
      <w:hyperlink w:anchor="_Toc112701955" w:history="1">
        <w:r w:rsidR="00120924" w:rsidRPr="000D7DA8">
          <w:rPr>
            <w:rStyle w:val="Hyperlnk"/>
            <w:noProof/>
            <w:lang w:val="en-US"/>
          </w:rPr>
          <w:t>11.</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Transfers of personal data to a third country or an international organization</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_Toc112701955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7</w:t>
        </w:r>
        <w:r w:rsidR="00120924" w:rsidRPr="000D7DA8">
          <w:rPr>
            <w:noProof/>
            <w:webHidden/>
            <w:lang w:val="en-US"/>
          </w:rPr>
          <w:fldChar w:fldCharType="end"/>
        </w:r>
      </w:hyperlink>
    </w:p>
    <w:p w14:paraId="733DD0BC" w14:textId="33A9815B" w:rsidR="00120924" w:rsidRPr="000D7DA8" w:rsidRDefault="003F7BE2">
      <w:pPr>
        <w:pStyle w:val="Innehll1"/>
        <w:rPr>
          <w:rFonts w:asciiTheme="minorHAnsi" w:eastAsiaTheme="minorEastAsia" w:hAnsiTheme="minorHAnsi" w:cstheme="minorBidi"/>
          <w:noProof/>
          <w:sz w:val="22"/>
          <w:lang w:val="en-US" w:eastAsia="en-US"/>
        </w:rPr>
      </w:pPr>
      <w:hyperlink w:anchor="_Toc112701956" w:history="1">
        <w:r w:rsidR="00120924" w:rsidRPr="000D7DA8">
          <w:rPr>
            <w:rStyle w:val="Hyperlnk"/>
            <w:noProof/>
            <w:lang w:val="en-US"/>
          </w:rPr>
          <w:t>12.</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Record of processing activities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_Toc112701956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8</w:t>
        </w:r>
        <w:r w:rsidR="00120924" w:rsidRPr="000D7DA8">
          <w:rPr>
            <w:noProof/>
            <w:webHidden/>
            <w:lang w:val="en-US"/>
          </w:rPr>
          <w:fldChar w:fldCharType="end"/>
        </w:r>
      </w:hyperlink>
    </w:p>
    <w:p w14:paraId="257DA31A" w14:textId="15B4272A" w:rsidR="00120924" w:rsidRPr="000D7DA8" w:rsidRDefault="003F7BE2">
      <w:pPr>
        <w:pStyle w:val="Innehll1"/>
        <w:rPr>
          <w:rFonts w:asciiTheme="minorHAnsi" w:eastAsiaTheme="minorEastAsia" w:hAnsiTheme="minorHAnsi" w:cstheme="minorBidi"/>
          <w:noProof/>
          <w:sz w:val="22"/>
          <w:lang w:val="en-US" w:eastAsia="en-US"/>
        </w:rPr>
      </w:pPr>
      <w:hyperlink w:anchor="_Toc112701957" w:history="1">
        <w:r w:rsidR="00120924" w:rsidRPr="000D7DA8">
          <w:rPr>
            <w:rStyle w:val="Hyperlnk"/>
            <w:noProof/>
            <w:lang w:val="en-US"/>
          </w:rPr>
          <w:t>13.</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Costs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_Toc112701957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8</w:t>
        </w:r>
        <w:r w:rsidR="00120924" w:rsidRPr="000D7DA8">
          <w:rPr>
            <w:noProof/>
            <w:webHidden/>
            <w:lang w:val="en-US"/>
          </w:rPr>
          <w:fldChar w:fldCharType="end"/>
        </w:r>
      </w:hyperlink>
    </w:p>
    <w:p w14:paraId="5FE6D803" w14:textId="531ED9F5" w:rsidR="00120924" w:rsidRPr="000D7DA8" w:rsidRDefault="003F7BE2">
      <w:pPr>
        <w:pStyle w:val="Innehll1"/>
        <w:rPr>
          <w:rFonts w:asciiTheme="minorHAnsi" w:eastAsiaTheme="minorEastAsia" w:hAnsiTheme="minorHAnsi" w:cstheme="minorBidi"/>
          <w:noProof/>
          <w:sz w:val="22"/>
          <w:lang w:val="en-US" w:eastAsia="en-US"/>
        </w:rPr>
      </w:pPr>
      <w:hyperlink w:anchor="_Toc112701958" w:history="1">
        <w:r w:rsidR="00120924" w:rsidRPr="000D7DA8">
          <w:rPr>
            <w:rStyle w:val="Hyperlnk"/>
            <w:noProof/>
            <w:lang w:val="en-US"/>
          </w:rPr>
          <w:t>14.</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Liability</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_Toc112701958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8</w:t>
        </w:r>
        <w:r w:rsidR="00120924" w:rsidRPr="000D7DA8">
          <w:rPr>
            <w:noProof/>
            <w:webHidden/>
            <w:lang w:val="en-US"/>
          </w:rPr>
          <w:fldChar w:fldCharType="end"/>
        </w:r>
      </w:hyperlink>
    </w:p>
    <w:p w14:paraId="35F9D471" w14:textId="2ACCC4C5" w:rsidR="00120924" w:rsidRPr="000D7DA8" w:rsidRDefault="003F7BE2">
      <w:pPr>
        <w:pStyle w:val="Innehll1"/>
        <w:rPr>
          <w:rFonts w:asciiTheme="minorHAnsi" w:eastAsiaTheme="minorEastAsia" w:hAnsiTheme="minorHAnsi" w:cstheme="minorBidi"/>
          <w:noProof/>
          <w:sz w:val="22"/>
          <w:lang w:val="en-US" w:eastAsia="en-US"/>
        </w:rPr>
      </w:pPr>
      <w:hyperlink w:anchor="_Toc112701959" w:history="1">
        <w:r w:rsidR="00120924" w:rsidRPr="000D7DA8">
          <w:rPr>
            <w:rStyle w:val="Hyperlnk"/>
            <w:noProof/>
            <w:lang w:val="en-US"/>
          </w:rPr>
          <w:t>15.</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Confidentiality</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_Toc112701959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8</w:t>
        </w:r>
        <w:r w:rsidR="00120924" w:rsidRPr="000D7DA8">
          <w:rPr>
            <w:noProof/>
            <w:webHidden/>
            <w:lang w:val="en-US"/>
          </w:rPr>
          <w:fldChar w:fldCharType="end"/>
        </w:r>
      </w:hyperlink>
    </w:p>
    <w:p w14:paraId="4C57B55D" w14:textId="4FEE1AF3" w:rsidR="00120924" w:rsidRPr="000D7DA8" w:rsidRDefault="003F7BE2">
      <w:pPr>
        <w:pStyle w:val="Innehll1"/>
        <w:rPr>
          <w:rFonts w:asciiTheme="minorHAnsi" w:eastAsiaTheme="minorEastAsia" w:hAnsiTheme="minorHAnsi" w:cstheme="minorBidi"/>
          <w:noProof/>
          <w:sz w:val="22"/>
          <w:lang w:val="en-US" w:eastAsia="en-US"/>
        </w:rPr>
      </w:pPr>
      <w:hyperlink w:anchor="_Toc112701960" w:history="1">
        <w:r w:rsidR="00120924" w:rsidRPr="000D7DA8">
          <w:rPr>
            <w:rStyle w:val="Hyperlnk"/>
            <w:noProof/>
            <w:lang w:val="en-US"/>
          </w:rPr>
          <w:t>16.</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Arbitration, applicable law</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_Toc112701960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9</w:t>
        </w:r>
        <w:r w:rsidR="00120924" w:rsidRPr="000D7DA8">
          <w:rPr>
            <w:noProof/>
            <w:webHidden/>
            <w:lang w:val="en-US"/>
          </w:rPr>
          <w:fldChar w:fldCharType="end"/>
        </w:r>
      </w:hyperlink>
    </w:p>
    <w:p w14:paraId="5BD5811B" w14:textId="6F07AAA6" w:rsidR="00120924" w:rsidRPr="000D7DA8" w:rsidRDefault="003F7BE2">
      <w:pPr>
        <w:pStyle w:val="Innehll1"/>
        <w:rPr>
          <w:rFonts w:asciiTheme="minorHAnsi" w:eastAsiaTheme="minorEastAsia" w:hAnsiTheme="minorHAnsi" w:cstheme="minorBidi"/>
          <w:noProof/>
          <w:sz w:val="22"/>
          <w:lang w:val="en-US" w:eastAsia="en-US"/>
        </w:rPr>
      </w:pPr>
      <w:hyperlink w:anchor="_Toc112701961" w:history="1">
        <w:r w:rsidR="00120924" w:rsidRPr="000D7DA8">
          <w:rPr>
            <w:rStyle w:val="Hyperlnk"/>
            <w:noProof/>
            <w:lang w:val="en-US"/>
          </w:rPr>
          <w:t>17.</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Signatures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_Toc112701961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10</w:t>
        </w:r>
        <w:r w:rsidR="00120924" w:rsidRPr="000D7DA8">
          <w:rPr>
            <w:noProof/>
            <w:webHidden/>
            <w:lang w:val="en-US"/>
          </w:rPr>
          <w:fldChar w:fldCharType="end"/>
        </w:r>
      </w:hyperlink>
    </w:p>
    <w:p w14:paraId="28C6DE39" w14:textId="6D008C27" w:rsidR="00120924" w:rsidRPr="000D7DA8" w:rsidRDefault="003F7BE2" w:rsidP="00120924">
      <w:pPr>
        <w:pStyle w:val="Innehll1"/>
        <w:ind w:left="0"/>
        <w:rPr>
          <w:rFonts w:asciiTheme="minorHAnsi" w:eastAsiaTheme="minorEastAsia" w:hAnsiTheme="minorHAnsi" w:cstheme="minorBidi"/>
          <w:noProof/>
          <w:sz w:val="22"/>
          <w:lang w:val="en-US" w:eastAsia="en-US"/>
        </w:rPr>
      </w:pPr>
      <w:hyperlink w:anchor="_Toc112701962" w:history="1">
        <w:r w:rsidR="00120924" w:rsidRPr="000D7DA8">
          <w:rPr>
            <w:rStyle w:val="Hyperlnk"/>
            <w:rFonts w:asciiTheme="majorHAnsi" w:hAnsiTheme="majorHAnsi" w:cstheme="majorHAnsi"/>
            <w:noProof/>
            <w:lang w:val="en-US"/>
          </w:rPr>
          <w:t>Appendix 1 – Parties to this Agreement</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_Toc112701962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11</w:t>
        </w:r>
        <w:r w:rsidR="00120924" w:rsidRPr="000D7DA8">
          <w:rPr>
            <w:noProof/>
            <w:webHidden/>
            <w:lang w:val="en-US"/>
          </w:rPr>
          <w:fldChar w:fldCharType="end"/>
        </w:r>
      </w:hyperlink>
    </w:p>
    <w:p w14:paraId="7047FC62" w14:textId="439814BD" w:rsidR="00120924" w:rsidRPr="000D7DA8" w:rsidRDefault="003F7BE2" w:rsidP="00120924">
      <w:pPr>
        <w:pStyle w:val="Innehll1"/>
        <w:ind w:left="0"/>
        <w:rPr>
          <w:rFonts w:asciiTheme="minorHAnsi" w:eastAsiaTheme="minorEastAsia" w:hAnsiTheme="minorHAnsi" w:cstheme="minorBidi"/>
          <w:noProof/>
          <w:sz w:val="22"/>
          <w:lang w:val="en-US" w:eastAsia="en-US"/>
        </w:rPr>
      </w:pPr>
      <w:hyperlink w:anchor="_Toc112701963" w:history="1">
        <w:r w:rsidR="00120924" w:rsidRPr="000D7DA8">
          <w:rPr>
            <w:rStyle w:val="Hyperlnk"/>
            <w:noProof/>
            <w:lang w:val="en-US"/>
          </w:rPr>
          <w:t>Appendix 2 – Documentation of the Processing</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_Toc112701963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12</w:t>
        </w:r>
        <w:r w:rsidR="00120924" w:rsidRPr="000D7DA8">
          <w:rPr>
            <w:noProof/>
            <w:webHidden/>
            <w:lang w:val="en-US"/>
          </w:rPr>
          <w:fldChar w:fldCharType="end"/>
        </w:r>
      </w:hyperlink>
    </w:p>
    <w:p w14:paraId="14AA26FA" w14:textId="14EACC62" w:rsidR="00120924" w:rsidRPr="000D7DA8" w:rsidRDefault="003F7BE2" w:rsidP="00120924">
      <w:pPr>
        <w:pStyle w:val="Innehll1"/>
        <w:ind w:left="0"/>
        <w:rPr>
          <w:rFonts w:asciiTheme="minorHAnsi" w:eastAsiaTheme="minorEastAsia" w:hAnsiTheme="minorHAnsi" w:cstheme="minorBidi"/>
          <w:noProof/>
          <w:sz w:val="22"/>
          <w:lang w:val="en-US" w:eastAsia="en-US"/>
        </w:rPr>
      </w:pPr>
      <w:hyperlink w:anchor="_Toc112701964" w:history="1">
        <w:r w:rsidR="00120924" w:rsidRPr="000D7DA8">
          <w:rPr>
            <w:rStyle w:val="Hyperlnk"/>
            <w:rFonts w:asciiTheme="majorHAnsi" w:hAnsiTheme="majorHAnsi" w:cstheme="majorHAnsi"/>
            <w:noProof/>
            <w:lang w:val="en-US"/>
          </w:rPr>
          <w:t>Appendix 3 – Management of data subjects' rights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_Toc112701964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15</w:t>
        </w:r>
        <w:r w:rsidR="00120924" w:rsidRPr="000D7DA8">
          <w:rPr>
            <w:noProof/>
            <w:webHidden/>
            <w:lang w:val="en-US"/>
          </w:rPr>
          <w:fldChar w:fldCharType="end"/>
        </w:r>
      </w:hyperlink>
    </w:p>
    <w:p w14:paraId="5EA60389" w14:textId="58F4498A" w:rsidR="00120924" w:rsidRPr="000D7DA8" w:rsidRDefault="003F7BE2" w:rsidP="00120924">
      <w:pPr>
        <w:pStyle w:val="Innehll1"/>
        <w:ind w:left="0"/>
        <w:rPr>
          <w:rFonts w:asciiTheme="minorHAnsi" w:eastAsiaTheme="minorEastAsia" w:hAnsiTheme="minorHAnsi" w:cstheme="minorBidi"/>
          <w:noProof/>
          <w:sz w:val="22"/>
          <w:lang w:val="en-US" w:eastAsia="en-US"/>
        </w:rPr>
      </w:pPr>
      <w:hyperlink w:anchor="_Toc112701965" w:history="1">
        <w:r w:rsidR="00120924" w:rsidRPr="000D7DA8">
          <w:rPr>
            <w:rStyle w:val="Hyperlnk"/>
            <w:rFonts w:asciiTheme="majorHAnsi" w:hAnsiTheme="majorHAnsi" w:cstheme="majorHAnsi"/>
            <w:noProof/>
            <w:lang w:val="en-US"/>
          </w:rPr>
          <w:t>Appendix 4 – Technical and organizational security measures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_Toc112701965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17</w:t>
        </w:r>
        <w:r w:rsidR="00120924" w:rsidRPr="000D7DA8">
          <w:rPr>
            <w:noProof/>
            <w:webHidden/>
            <w:lang w:val="en-US"/>
          </w:rPr>
          <w:fldChar w:fldCharType="end"/>
        </w:r>
      </w:hyperlink>
    </w:p>
    <w:p w14:paraId="21E279E2" w14:textId="2981AA52" w:rsidR="00120924" w:rsidRDefault="003F7BE2" w:rsidP="00120924">
      <w:pPr>
        <w:pStyle w:val="Innehll1"/>
        <w:ind w:left="0"/>
        <w:rPr>
          <w:rFonts w:asciiTheme="minorHAnsi" w:eastAsiaTheme="minorEastAsia" w:hAnsiTheme="minorHAnsi" w:cstheme="minorBidi"/>
          <w:noProof/>
          <w:sz w:val="22"/>
          <w:lang w:val="en-US" w:eastAsia="en-US"/>
        </w:rPr>
      </w:pPr>
      <w:hyperlink w:anchor="_Toc112701966" w:history="1">
        <w:r w:rsidR="00120924" w:rsidRPr="000D7DA8">
          <w:rPr>
            <w:rStyle w:val="Hyperlnk"/>
            <w:rFonts w:asciiTheme="majorHAnsi" w:hAnsiTheme="majorHAnsi" w:cstheme="majorHAnsi"/>
            <w:noProof/>
            <w:lang w:val="en-US"/>
          </w:rPr>
          <w:t>Appendix 5 – Personal data processors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_Toc112701966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21</w:t>
        </w:r>
        <w:r w:rsidR="00120924" w:rsidRPr="000D7DA8">
          <w:rPr>
            <w:noProof/>
            <w:webHidden/>
            <w:lang w:val="en-US"/>
          </w:rPr>
          <w:fldChar w:fldCharType="end"/>
        </w:r>
      </w:hyperlink>
    </w:p>
    <w:p w14:paraId="31435862" w14:textId="086AA826" w:rsidR="006C6346" w:rsidRDefault="00400E47" w:rsidP="00BE2B1E">
      <w:pPr>
        <w:spacing w:before="100" w:after="120" w:line="276" w:lineRule="auto"/>
        <w:rPr>
          <w:rFonts w:asciiTheme="majorHAnsi" w:hAnsiTheme="majorHAnsi" w:cstheme="majorHAnsi"/>
          <w:sz w:val="22"/>
          <w:highlight w:val="yellow"/>
          <w:lang w:val="en-US"/>
        </w:rPr>
      </w:pPr>
      <w:r>
        <w:fldChar w:fldCharType="end"/>
      </w:r>
      <w:r w:rsidR="006C6346">
        <w:rPr>
          <w:rFonts w:asciiTheme="majorHAnsi" w:hAnsiTheme="majorHAnsi" w:cstheme="majorHAnsi"/>
          <w:sz w:val="22"/>
          <w:highlight w:val="yellow"/>
          <w:lang w:val="en-US"/>
        </w:rPr>
        <w:br w:type="page"/>
      </w:r>
    </w:p>
    <w:p w14:paraId="0B27FE3B" w14:textId="77777777" w:rsidR="00923112" w:rsidRPr="00923112" w:rsidRDefault="00923112" w:rsidP="00C55763">
      <w:pPr>
        <w:spacing w:before="0" w:after="460" w:line="276" w:lineRule="auto"/>
        <w:rPr>
          <w:sz w:val="22"/>
          <w:lang w:val="en-US"/>
        </w:rPr>
      </w:pPr>
      <w:r w:rsidRPr="00923112">
        <w:rPr>
          <w:sz w:val="22"/>
          <w:lang w:val="en-US"/>
        </w:rPr>
        <w:lastRenderedPageBreak/>
        <w:t>This agreement for joint personal data controllership (“Agreement”) has been entered into between the legal entities documented in Appendix 1, separately Party, and jointly the Parties.</w:t>
      </w:r>
    </w:p>
    <w:p w14:paraId="1850CFB7" w14:textId="77777777" w:rsidR="00923112" w:rsidRPr="00243595" w:rsidRDefault="00923112" w:rsidP="00CB4B87">
      <w:pPr>
        <w:pStyle w:val="Rubrik2"/>
        <w:ind w:left="360" w:hanging="360"/>
        <w:rPr>
          <w:lang w:val="en-US"/>
        </w:rPr>
      </w:pPr>
      <w:bookmarkStart w:id="2" w:name="_Toc103014317"/>
      <w:bookmarkStart w:id="3" w:name="_Toc105656729"/>
      <w:bookmarkStart w:id="4" w:name="_Toc112701945"/>
      <w:r w:rsidRPr="00243595">
        <w:rPr>
          <w:lang w:val="en-US"/>
        </w:rPr>
        <w:t>Background and purpose</w:t>
      </w:r>
      <w:bookmarkEnd w:id="2"/>
      <w:bookmarkEnd w:id="3"/>
      <w:bookmarkEnd w:id="4"/>
    </w:p>
    <w:p w14:paraId="6F3D4E62" w14:textId="47D1A683" w:rsidR="00923112" w:rsidRPr="00856050" w:rsidRDefault="00923112" w:rsidP="00AE5572">
      <w:pPr>
        <w:pStyle w:val="Liststycke"/>
        <w:numPr>
          <w:ilvl w:val="1"/>
          <w:numId w:val="2"/>
        </w:numPr>
        <w:tabs>
          <w:tab w:val="left" w:pos="450"/>
        </w:tabs>
        <w:spacing w:before="0" w:line="276" w:lineRule="auto"/>
        <w:ind w:left="432"/>
        <w:contextualSpacing w:val="0"/>
        <w:rPr>
          <w:sz w:val="22"/>
          <w:lang w:val="en-US"/>
        </w:rPr>
      </w:pPr>
      <w:r w:rsidRPr="00856050">
        <w:rPr>
          <w:sz w:val="22"/>
          <w:lang w:val="en-US"/>
        </w:rPr>
        <w:t>The Parties are sponsor and trial site respectively for a clinical trial, as specified in Appendix 2. The Parties have together within the boundaries of a study protocol decided on the purposes and means of the processing of personal data and are thereby joint controllers of said data.</w:t>
      </w:r>
    </w:p>
    <w:p w14:paraId="1DF4FA91" w14:textId="44F53248" w:rsidR="00923112" w:rsidRPr="00856050" w:rsidRDefault="00923112" w:rsidP="00AE5572">
      <w:pPr>
        <w:pStyle w:val="Liststycke"/>
        <w:numPr>
          <w:ilvl w:val="1"/>
          <w:numId w:val="2"/>
        </w:numPr>
        <w:tabs>
          <w:tab w:val="left" w:pos="450"/>
        </w:tabs>
        <w:spacing w:before="0" w:line="276" w:lineRule="auto"/>
        <w:ind w:left="432"/>
        <w:contextualSpacing w:val="0"/>
        <w:rPr>
          <w:sz w:val="22"/>
          <w:lang w:val="en-US"/>
        </w:rPr>
      </w:pPr>
      <w:r w:rsidRPr="00856050">
        <w:rPr>
          <w:sz w:val="22"/>
          <w:lang w:val="en-US"/>
        </w:rPr>
        <w:t>This agreement, with appendixes, is the Parties means of arraignment in accordance with article 26 GDPR.</w:t>
      </w:r>
    </w:p>
    <w:p w14:paraId="5A3D54FB" w14:textId="4740477E" w:rsidR="00923112" w:rsidRPr="00856050" w:rsidRDefault="00923112" w:rsidP="00AE5572">
      <w:pPr>
        <w:pStyle w:val="Liststycke"/>
        <w:numPr>
          <w:ilvl w:val="1"/>
          <w:numId w:val="2"/>
        </w:numPr>
        <w:tabs>
          <w:tab w:val="left" w:pos="450"/>
        </w:tabs>
        <w:spacing w:before="0" w:line="276" w:lineRule="auto"/>
        <w:ind w:left="432"/>
        <w:contextualSpacing w:val="0"/>
        <w:rPr>
          <w:sz w:val="22"/>
          <w:lang w:val="en-US"/>
        </w:rPr>
      </w:pPr>
      <w:r w:rsidRPr="00856050">
        <w:rPr>
          <w:sz w:val="22"/>
          <w:lang w:val="en-US"/>
        </w:rPr>
        <w:t xml:space="preserve">This agreement’s purpose is to be a transparent determination of each Parties responsibilities in accordance with Data protection legislation </w:t>
      </w:r>
      <w:proofErr w:type="gramStart"/>
      <w:r w:rsidRPr="00856050">
        <w:rPr>
          <w:sz w:val="22"/>
          <w:lang w:val="en-US"/>
        </w:rPr>
        <w:t>in particular regarding</w:t>
      </w:r>
      <w:proofErr w:type="gramEnd"/>
      <w:r w:rsidRPr="00856050">
        <w:rPr>
          <w:sz w:val="22"/>
          <w:lang w:val="en-US"/>
        </w:rPr>
        <w:t xml:space="preserve"> rights of the data subjects and providing information to the data subjects.</w:t>
      </w:r>
    </w:p>
    <w:p w14:paraId="7DF205E2" w14:textId="2BA90835" w:rsidR="00923112" w:rsidRPr="00856050" w:rsidRDefault="00923112" w:rsidP="00AE5572">
      <w:pPr>
        <w:pStyle w:val="Liststycke"/>
        <w:numPr>
          <w:ilvl w:val="1"/>
          <w:numId w:val="2"/>
        </w:numPr>
        <w:tabs>
          <w:tab w:val="left" w:pos="450"/>
        </w:tabs>
        <w:spacing w:before="0" w:line="276" w:lineRule="auto"/>
        <w:ind w:left="432"/>
        <w:contextualSpacing w:val="0"/>
        <w:rPr>
          <w:sz w:val="22"/>
          <w:lang w:val="en-US"/>
        </w:rPr>
      </w:pPr>
      <w:r w:rsidRPr="00856050">
        <w:rPr>
          <w:sz w:val="22"/>
          <w:lang w:val="en-US"/>
        </w:rPr>
        <w:t>This agreement regulates respectively the Parties responsibilities to fulfill the obligations according to Data protection legislation. The agreement does not otherwise impose obligation or rights regarding the clinical trial.</w:t>
      </w:r>
    </w:p>
    <w:p w14:paraId="48D8B419" w14:textId="77777777" w:rsidR="00923112" w:rsidRPr="00243595" w:rsidRDefault="00923112" w:rsidP="002A743D">
      <w:pPr>
        <w:pStyle w:val="Rubrik2"/>
        <w:spacing w:before="500"/>
        <w:ind w:left="360" w:hanging="360"/>
        <w:rPr>
          <w:lang w:val="en-US"/>
        </w:rPr>
      </w:pPr>
      <w:bookmarkStart w:id="5" w:name="_Definitioner_och_tolkning"/>
      <w:bookmarkStart w:id="6" w:name="_Toc103014318"/>
      <w:bookmarkStart w:id="7" w:name="_Toc105656730"/>
      <w:bookmarkStart w:id="8" w:name="_Toc112701946"/>
      <w:bookmarkEnd w:id="5"/>
      <w:r w:rsidRPr="00243595">
        <w:rPr>
          <w:lang w:val="en-US"/>
        </w:rPr>
        <w:t>Definitions and interpretation</w:t>
      </w:r>
      <w:bookmarkEnd w:id="6"/>
      <w:bookmarkEnd w:id="7"/>
      <w:bookmarkEnd w:id="8"/>
    </w:p>
    <w:p w14:paraId="3C820CCE" w14:textId="6E00F502" w:rsidR="00923112" w:rsidRPr="0040566C" w:rsidRDefault="00923112" w:rsidP="00AE5572">
      <w:pPr>
        <w:pStyle w:val="Liststycke"/>
        <w:numPr>
          <w:ilvl w:val="1"/>
          <w:numId w:val="11"/>
        </w:numPr>
        <w:spacing w:before="0" w:after="240" w:line="240" w:lineRule="auto"/>
        <w:ind w:left="1124" w:hanging="562"/>
        <w:contextualSpacing w:val="0"/>
        <w:rPr>
          <w:sz w:val="22"/>
          <w:lang w:val="en-US"/>
        </w:rPr>
      </w:pPr>
      <w:r w:rsidRPr="0040566C">
        <w:rPr>
          <w:sz w:val="22"/>
          <w:lang w:val="en-US"/>
        </w:rPr>
        <w:t xml:space="preserve">The </w:t>
      </w:r>
      <w:r w:rsidRPr="007654D9">
        <w:rPr>
          <w:sz w:val="22"/>
          <w:lang w:val="en-US"/>
        </w:rPr>
        <w:t>following</w:t>
      </w:r>
      <w:r w:rsidRPr="0040566C">
        <w:rPr>
          <w:sz w:val="22"/>
          <w:lang w:val="en-US"/>
        </w:rPr>
        <w:t xml:space="preserve"> terms are defined as follows and are reproduced in this Agreement in capital</w:t>
      </w:r>
    </w:p>
    <w:p w14:paraId="64321FFD" w14:textId="77777777" w:rsidR="00923112" w:rsidRPr="00923112" w:rsidRDefault="00923112" w:rsidP="00923112">
      <w:pPr>
        <w:spacing w:before="0" w:line="276" w:lineRule="auto"/>
        <w:ind w:left="3912" w:hanging="2778"/>
        <w:rPr>
          <w:sz w:val="22"/>
          <w:lang w:val="en-US"/>
        </w:rPr>
      </w:pPr>
      <w:r w:rsidRPr="00923112">
        <w:rPr>
          <w:sz w:val="22"/>
          <w:lang w:val="en-US"/>
        </w:rPr>
        <w:t>”Agreement”</w:t>
      </w:r>
      <w:r w:rsidRPr="00923112">
        <w:rPr>
          <w:sz w:val="22"/>
          <w:lang w:val="en-US"/>
        </w:rPr>
        <w:tab/>
        <w:t>means this agreement regarding joint controllers including all appendixes.</w:t>
      </w:r>
    </w:p>
    <w:p w14:paraId="72020EFD" w14:textId="77777777" w:rsidR="00923112" w:rsidRPr="00923112" w:rsidRDefault="00923112" w:rsidP="00923112">
      <w:pPr>
        <w:spacing w:before="0" w:line="276" w:lineRule="auto"/>
        <w:ind w:left="3912" w:hanging="2778"/>
        <w:rPr>
          <w:sz w:val="22"/>
          <w:lang w:val="en-US"/>
        </w:rPr>
      </w:pPr>
      <w:r w:rsidRPr="00923112">
        <w:rPr>
          <w:sz w:val="22"/>
          <w:lang w:val="en-US"/>
        </w:rPr>
        <w:t>”the Processing”</w:t>
      </w:r>
      <w:r w:rsidRPr="00923112">
        <w:rPr>
          <w:sz w:val="22"/>
          <w:lang w:val="en-US"/>
        </w:rPr>
        <w:tab/>
        <w:t>means the Processing for which all parties are jointly controllers and is documented in Appendix 2.</w:t>
      </w:r>
    </w:p>
    <w:p w14:paraId="5405F732" w14:textId="77777777" w:rsidR="00923112" w:rsidRPr="00923112" w:rsidRDefault="00923112" w:rsidP="00923112">
      <w:pPr>
        <w:spacing w:before="0" w:line="276" w:lineRule="auto"/>
        <w:ind w:left="3912" w:hanging="2778"/>
        <w:rPr>
          <w:sz w:val="22"/>
          <w:lang w:val="en-US"/>
        </w:rPr>
      </w:pPr>
      <w:r w:rsidRPr="00923112">
        <w:rPr>
          <w:sz w:val="22"/>
          <w:lang w:val="en-US"/>
        </w:rPr>
        <w:t>”Data protection legislation”</w:t>
      </w:r>
      <w:r w:rsidRPr="00923112">
        <w:rPr>
          <w:sz w:val="22"/>
          <w:lang w:val="en-US"/>
        </w:rPr>
        <w:tab/>
        <w:t>means GDPR, according to the definition below, and other applicable Data protection legislation which covers the Processing according to Appendix 2.</w:t>
      </w:r>
    </w:p>
    <w:p w14:paraId="03E9199A" w14:textId="77777777" w:rsidR="00923112" w:rsidRPr="00923112" w:rsidRDefault="00923112" w:rsidP="00923112">
      <w:pPr>
        <w:spacing w:before="0" w:line="276" w:lineRule="auto"/>
        <w:ind w:left="3912" w:hanging="2778"/>
        <w:rPr>
          <w:rFonts w:eastAsia="Times New Roman"/>
          <w:color w:val="000000" w:themeColor="text1"/>
          <w:sz w:val="22"/>
          <w:shd w:val="clear" w:color="auto" w:fill="FFFFFF"/>
          <w:lang w:val="en-US"/>
        </w:rPr>
      </w:pPr>
      <w:r w:rsidRPr="00923112">
        <w:rPr>
          <w:sz w:val="22"/>
          <w:lang w:val="en-US"/>
        </w:rPr>
        <w:t xml:space="preserve">”GDPR” </w:t>
      </w:r>
      <w:r w:rsidRPr="00923112">
        <w:rPr>
          <w:sz w:val="22"/>
          <w:lang w:val="en-US"/>
        </w:rPr>
        <w:tab/>
        <w:t xml:space="preserve">means the General Data Protection Regulation (2016/679/EU) of the European Parliament and of the Council of 27 April 2016 to the protection of natural persons with regard to the processing of personal data and on the free movement of such data and repealing of </w:t>
      </w:r>
      <w:r w:rsidRPr="00923112">
        <w:rPr>
          <w:rFonts w:eastAsia="Times New Roman"/>
          <w:color w:val="000000" w:themeColor="text1"/>
          <w:sz w:val="22"/>
          <w:shd w:val="clear" w:color="auto" w:fill="FFFFFF"/>
          <w:lang w:val="en-US"/>
        </w:rPr>
        <w:t>directive 95/46/EG..</w:t>
      </w:r>
    </w:p>
    <w:p w14:paraId="2087D3A8" w14:textId="77777777" w:rsidR="00923112" w:rsidRPr="00923112" w:rsidRDefault="00923112" w:rsidP="00923112">
      <w:pPr>
        <w:spacing w:before="0" w:line="276" w:lineRule="auto"/>
        <w:ind w:left="3912" w:hanging="2778"/>
        <w:rPr>
          <w:rFonts w:eastAsia="Times New Roman"/>
          <w:color w:val="000000" w:themeColor="text1"/>
          <w:sz w:val="22"/>
          <w:shd w:val="clear" w:color="auto" w:fill="FFFFFF"/>
          <w:lang w:val="en-US"/>
        </w:rPr>
      </w:pPr>
      <w:r w:rsidRPr="00923112">
        <w:rPr>
          <w:rFonts w:eastAsia="Times New Roman"/>
          <w:color w:val="000000" w:themeColor="text1"/>
          <w:sz w:val="22"/>
          <w:shd w:val="clear" w:color="auto" w:fill="FFFFFF"/>
          <w:lang w:val="en-US"/>
        </w:rPr>
        <w:t>”Impact assessment”</w:t>
      </w:r>
      <w:r w:rsidRPr="00923112">
        <w:rPr>
          <w:rFonts w:eastAsia="Times New Roman"/>
          <w:color w:val="000000" w:themeColor="text1"/>
          <w:sz w:val="22"/>
          <w:shd w:val="clear" w:color="auto" w:fill="FFFFFF"/>
          <w:lang w:val="en-US"/>
        </w:rPr>
        <w:tab/>
        <w:t>means Data protection Impact assessment in accordance with article 35 GDPR.</w:t>
      </w:r>
    </w:p>
    <w:p w14:paraId="15CF9C0A" w14:textId="77777777" w:rsidR="00923112" w:rsidRPr="00923112" w:rsidRDefault="00923112" w:rsidP="00923112">
      <w:pPr>
        <w:spacing w:before="0" w:line="276" w:lineRule="auto"/>
        <w:ind w:left="3912" w:hanging="2778"/>
        <w:rPr>
          <w:sz w:val="22"/>
          <w:lang w:val="en-US"/>
        </w:rPr>
      </w:pPr>
      <w:r w:rsidRPr="00923112">
        <w:rPr>
          <w:sz w:val="22"/>
          <w:lang w:val="en-US"/>
        </w:rPr>
        <w:t>”SCC”</w:t>
      </w:r>
      <w:r w:rsidRPr="00923112">
        <w:rPr>
          <w:sz w:val="22"/>
          <w:lang w:val="en-US"/>
        </w:rPr>
        <w:tab/>
        <w:t xml:space="preserve">means </w:t>
      </w:r>
      <w:bookmarkStart w:id="9" w:name="_Hlk98763562"/>
      <w:r w:rsidRPr="00923112">
        <w:rPr>
          <w:sz w:val="22"/>
          <w:lang w:val="en-US"/>
        </w:rPr>
        <w:t>the Arbitration Institute of Stockholm’s Chamber of Commerce</w:t>
      </w:r>
      <w:bookmarkEnd w:id="9"/>
      <w:r w:rsidRPr="00923112">
        <w:rPr>
          <w:sz w:val="22"/>
          <w:lang w:val="en-US"/>
        </w:rPr>
        <w:t>.</w:t>
      </w:r>
    </w:p>
    <w:p w14:paraId="58A1F476" w14:textId="77777777" w:rsidR="00923112" w:rsidRPr="00923112" w:rsidRDefault="00923112" w:rsidP="00923112">
      <w:pPr>
        <w:spacing w:before="0" w:line="276" w:lineRule="auto"/>
        <w:ind w:left="3927" w:hanging="2793"/>
        <w:rPr>
          <w:sz w:val="22"/>
          <w:lang w:val="en-US"/>
        </w:rPr>
      </w:pPr>
      <w:r w:rsidRPr="00923112">
        <w:rPr>
          <w:sz w:val="22"/>
          <w:lang w:val="en-US"/>
        </w:rPr>
        <w:lastRenderedPageBreak/>
        <w:t>”Sponsor”</w:t>
      </w:r>
      <w:r w:rsidRPr="00923112">
        <w:rPr>
          <w:sz w:val="22"/>
          <w:lang w:val="en-US"/>
        </w:rPr>
        <w:tab/>
        <w:t>means the Party or the Parties that assumes the Sponsor role for the clinical trial.</w:t>
      </w:r>
    </w:p>
    <w:p w14:paraId="582C41FC" w14:textId="77777777" w:rsidR="00923112" w:rsidRPr="008E6E9D" w:rsidRDefault="00923112" w:rsidP="00AE5572">
      <w:pPr>
        <w:pStyle w:val="Liststycke"/>
        <w:numPr>
          <w:ilvl w:val="1"/>
          <w:numId w:val="11"/>
        </w:numPr>
        <w:spacing w:before="0" w:after="240" w:line="240" w:lineRule="auto"/>
        <w:ind w:left="1124" w:hanging="562"/>
        <w:contextualSpacing w:val="0"/>
        <w:rPr>
          <w:sz w:val="22"/>
          <w:lang w:val="en-US"/>
        </w:rPr>
      </w:pPr>
      <w:r w:rsidRPr="008E6E9D">
        <w:rPr>
          <w:sz w:val="22"/>
          <w:lang w:val="en-US"/>
        </w:rPr>
        <w:t>Concepts defined in the GDPR shall have the same meaning within this Agreement.</w:t>
      </w:r>
    </w:p>
    <w:p w14:paraId="34EC48B3" w14:textId="77777777" w:rsidR="00923112" w:rsidRPr="008E6E9D" w:rsidRDefault="00923112" w:rsidP="00AE5572">
      <w:pPr>
        <w:pStyle w:val="Liststycke"/>
        <w:numPr>
          <w:ilvl w:val="1"/>
          <w:numId w:val="11"/>
        </w:numPr>
        <w:spacing w:before="0" w:after="240" w:line="240" w:lineRule="auto"/>
        <w:ind w:left="1124" w:hanging="562"/>
        <w:contextualSpacing w:val="0"/>
        <w:rPr>
          <w:sz w:val="22"/>
          <w:lang w:val="en-US"/>
        </w:rPr>
      </w:pPr>
      <w:r w:rsidRPr="008E6E9D">
        <w:rPr>
          <w:sz w:val="22"/>
          <w:lang w:val="en-US"/>
        </w:rPr>
        <w:t>Concepts in section 4 below shall have the same meaning as in the Swedish law (2003:460) on ethical review in research on human beings.</w:t>
      </w:r>
    </w:p>
    <w:p w14:paraId="67ADC0EF" w14:textId="77777777" w:rsidR="00923112" w:rsidRPr="008E6E9D" w:rsidRDefault="00923112" w:rsidP="00AE5572">
      <w:pPr>
        <w:pStyle w:val="Liststycke"/>
        <w:numPr>
          <w:ilvl w:val="1"/>
          <w:numId w:val="11"/>
        </w:numPr>
        <w:spacing w:before="0" w:after="240" w:line="240" w:lineRule="auto"/>
        <w:ind w:left="1124" w:hanging="562"/>
        <w:contextualSpacing w:val="0"/>
        <w:rPr>
          <w:sz w:val="22"/>
          <w:lang w:val="en-US"/>
        </w:rPr>
      </w:pPr>
      <w:r w:rsidRPr="008E6E9D">
        <w:rPr>
          <w:sz w:val="22"/>
          <w:lang w:val="en-US"/>
        </w:rPr>
        <w:t>If this Agreement is an Appendix to another contract between the Parties, this section 2 shall take precedence with regards to the definitions of concepts.</w:t>
      </w:r>
    </w:p>
    <w:p w14:paraId="0FCF7CB9" w14:textId="77777777" w:rsidR="00923112" w:rsidRPr="008E6E9D" w:rsidRDefault="00923112" w:rsidP="00AE5572">
      <w:pPr>
        <w:pStyle w:val="Liststycke"/>
        <w:numPr>
          <w:ilvl w:val="1"/>
          <w:numId w:val="11"/>
        </w:numPr>
        <w:spacing w:before="0" w:after="240" w:line="240" w:lineRule="auto"/>
        <w:ind w:left="1124" w:hanging="562"/>
        <w:contextualSpacing w:val="0"/>
        <w:rPr>
          <w:sz w:val="22"/>
          <w:lang w:val="en-US"/>
        </w:rPr>
      </w:pPr>
      <w:r w:rsidRPr="008E6E9D">
        <w:rPr>
          <w:sz w:val="22"/>
          <w:lang w:val="en-US"/>
        </w:rPr>
        <w:t>In this Agreement the following shall apply:</w:t>
      </w:r>
    </w:p>
    <w:p w14:paraId="25F08E44" w14:textId="03E414D0" w:rsidR="00923112" w:rsidRPr="006F59F3" w:rsidRDefault="00923112" w:rsidP="008A08DC">
      <w:pPr>
        <w:pStyle w:val="Liststycke"/>
        <w:numPr>
          <w:ilvl w:val="2"/>
          <w:numId w:val="11"/>
        </w:numPr>
        <w:spacing w:before="0" w:after="240" w:line="240" w:lineRule="auto"/>
        <w:ind w:left="1498" w:right="72" w:hanging="360"/>
        <w:contextualSpacing w:val="0"/>
        <w:rPr>
          <w:sz w:val="22"/>
          <w:lang w:val="en-US"/>
        </w:rPr>
      </w:pPr>
      <w:r w:rsidRPr="006F59F3">
        <w:rPr>
          <w:sz w:val="22"/>
          <w:lang w:val="en-US"/>
        </w:rPr>
        <w:t>references to appendixes, sections and</w:t>
      </w:r>
      <w:r w:rsidR="0045208F" w:rsidRPr="006F59F3">
        <w:rPr>
          <w:sz w:val="22"/>
          <w:lang w:val="en-US"/>
        </w:rPr>
        <w:t xml:space="preserve"> </w:t>
      </w:r>
      <w:r w:rsidRPr="006F59F3">
        <w:rPr>
          <w:sz w:val="22"/>
          <w:lang w:val="en-US"/>
        </w:rPr>
        <w:t>paragraphs shall be</w:t>
      </w:r>
      <w:r w:rsidR="0045208F" w:rsidRPr="006F59F3">
        <w:rPr>
          <w:sz w:val="22"/>
          <w:lang w:val="en-US"/>
        </w:rPr>
        <w:t xml:space="preserve"> </w:t>
      </w:r>
      <w:r w:rsidRPr="006F59F3">
        <w:rPr>
          <w:sz w:val="22"/>
          <w:lang w:val="en-US"/>
        </w:rPr>
        <w:t xml:space="preserve">references to the annexes, sections and paragraphs of this </w:t>
      </w:r>
      <w:proofErr w:type="gramStart"/>
      <w:r w:rsidRPr="006F59F3">
        <w:rPr>
          <w:sz w:val="22"/>
          <w:lang w:val="en-US"/>
        </w:rPr>
        <w:t>Agreement;</w:t>
      </w:r>
      <w:proofErr w:type="gramEnd"/>
    </w:p>
    <w:p w14:paraId="188E7E01" w14:textId="77777777" w:rsidR="00923112" w:rsidRPr="006F59F3" w:rsidRDefault="00923112" w:rsidP="00AE5572">
      <w:pPr>
        <w:pStyle w:val="Liststycke"/>
        <w:numPr>
          <w:ilvl w:val="2"/>
          <w:numId w:val="11"/>
        </w:numPr>
        <w:spacing w:before="0" w:after="240" w:line="240" w:lineRule="auto"/>
        <w:ind w:left="1498" w:hanging="360"/>
        <w:contextualSpacing w:val="0"/>
        <w:rPr>
          <w:sz w:val="22"/>
          <w:lang w:val="en-US"/>
        </w:rPr>
      </w:pPr>
      <w:r w:rsidRPr="006F59F3">
        <w:rPr>
          <w:sz w:val="22"/>
          <w:lang w:val="en-US"/>
        </w:rPr>
        <w:t xml:space="preserve">the Appendixes is considered an integral part of the </w:t>
      </w:r>
      <w:proofErr w:type="gramStart"/>
      <w:r w:rsidRPr="006F59F3">
        <w:rPr>
          <w:sz w:val="22"/>
          <w:lang w:val="en-US"/>
        </w:rPr>
        <w:t>Agreement;</w:t>
      </w:r>
      <w:proofErr w:type="gramEnd"/>
    </w:p>
    <w:p w14:paraId="2D84A1CA" w14:textId="77777777" w:rsidR="00923112" w:rsidRPr="006F59F3" w:rsidRDefault="00923112" w:rsidP="00AE5572">
      <w:pPr>
        <w:pStyle w:val="Liststycke"/>
        <w:numPr>
          <w:ilvl w:val="2"/>
          <w:numId w:val="11"/>
        </w:numPr>
        <w:spacing w:before="0" w:after="240" w:line="240" w:lineRule="auto"/>
        <w:ind w:left="1498" w:hanging="360"/>
        <w:contextualSpacing w:val="0"/>
        <w:rPr>
          <w:sz w:val="22"/>
          <w:lang w:val="en-US"/>
        </w:rPr>
      </w:pPr>
      <w:r w:rsidRPr="006F59F3">
        <w:rPr>
          <w:sz w:val="22"/>
          <w:lang w:val="en-US"/>
        </w:rPr>
        <w:t xml:space="preserve">singular includes plural and vice versa, </w:t>
      </w:r>
      <w:proofErr w:type="gramStart"/>
      <w:r w:rsidRPr="006F59F3">
        <w:rPr>
          <w:sz w:val="22"/>
          <w:lang w:val="en-US"/>
        </w:rPr>
        <w:t>and;</w:t>
      </w:r>
      <w:proofErr w:type="gramEnd"/>
    </w:p>
    <w:p w14:paraId="543F896A" w14:textId="77777777" w:rsidR="00923112" w:rsidRPr="006F59F3" w:rsidRDefault="00923112" w:rsidP="00AE5572">
      <w:pPr>
        <w:pStyle w:val="Liststycke"/>
        <w:numPr>
          <w:ilvl w:val="2"/>
          <w:numId w:val="11"/>
        </w:numPr>
        <w:spacing w:before="0" w:after="240" w:line="240" w:lineRule="auto"/>
        <w:ind w:left="1498" w:hanging="360"/>
        <w:contextualSpacing w:val="0"/>
        <w:rPr>
          <w:sz w:val="22"/>
          <w:lang w:val="en-US"/>
        </w:rPr>
      </w:pPr>
      <w:r w:rsidRPr="006F59F3">
        <w:rPr>
          <w:sz w:val="22"/>
          <w:lang w:val="en-US"/>
        </w:rPr>
        <w:t>headings shall not influence interpretation of the Agreement.</w:t>
      </w:r>
    </w:p>
    <w:p w14:paraId="248788D7" w14:textId="77777777" w:rsidR="00923112" w:rsidRPr="00C43404" w:rsidRDefault="00923112" w:rsidP="00AE5572">
      <w:pPr>
        <w:pStyle w:val="Liststycke"/>
        <w:numPr>
          <w:ilvl w:val="1"/>
          <w:numId w:val="11"/>
        </w:numPr>
        <w:spacing w:before="0" w:after="240" w:line="240" w:lineRule="auto"/>
        <w:ind w:left="1124" w:hanging="562"/>
        <w:contextualSpacing w:val="0"/>
        <w:rPr>
          <w:sz w:val="22"/>
          <w:lang w:val="en-US"/>
        </w:rPr>
      </w:pPr>
      <w:r w:rsidRPr="00C43404">
        <w:rPr>
          <w:sz w:val="22"/>
          <w:lang w:val="en-US"/>
        </w:rPr>
        <w:t xml:space="preserve">No part of this agreement shall be interpreted to the disadvantage of a Party by reason of that Party was responsible for drafting the Agreement. </w:t>
      </w:r>
    </w:p>
    <w:p w14:paraId="7E997811" w14:textId="77777777" w:rsidR="00923112" w:rsidRPr="00243595" w:rsidRDefault="00923112" w:rsidP="008A08DC">
      <w:pPr>
        <w:pStyle w:val="Rubrik2"/>
        <w:spacing w:before="500" w:after="160"/>
        <w:ind w:left="360" w:hanging="360"/>
        <w:rPr>
          <w:lang w:val="en-US"/>
        </w:rPr>
      </w:pPr>
      <w:bookmarkStart w:id="10" w:name="_Toc103014319"/>
      <w:bookmarkStart w:id="11" w:name="_Toc105656731"/>
      <w:bookmarkStart w:id="12" w:name="_Toc112701947"/>
      <w:r w:rsidRPr="00243595">
        <w:rPr>
          <w:lang w:val="en-US"/>
        </w:rPr>
        <w:t>Processing of personal data</w:t>
      </w:r>
      <w:bookmarkEnd w:id="10"/>
      <w:bookmarkEnd w:id="11"/>
      <w:bookmarkEnd w:id="12"/>
    </w:p>
    <w:p w14:paraId="60A02DD1" w14:textId="78D79EE1" w:rsidR="00923112" w:rsidRPr="00B970A2" w:rsidRDefault="00923112" w:rsidP="00AE5572">
      <w:pPr>
        <w:pStyle w:val="Liststycke"/>
        <w:numPr>
          <w:ilvl w:val="1"/>
          <w:numId w:val="11"/>
        </w:numPr>
        <w:spacing w:before="240" w:line="240" w:lineRule="auto"/>
        <w:ind w:left="1124" w:hanging="562"/>
        <w:contextualSpacing w:val="0"/>
        <w:rPr>
          <w:sz w:val="22"/>
          <w:lang w:val="en-US"/>
        </w:rPr>
      </w:pPr>
      <w:r w:rsidRPr="00B970A2">
        <w:rPr>
          <w:sz w:val="22"/>
          <w:lang w:val="en-US"/>
        </w:rPr>
        <w:t>The Parties are joint controllers for the processing of personal data documented in Appendix 2.</w:t>
      </w:r>
    </w:p>
    <w:p w14:paraId="7C0A9EB0" w14:textId="77777777" w:rsidR="00923112" w:rsidRPr="00976B21" w:rsidRDefault="00923112" w:rsidP="00AE5572">
      <w:pPr>
        <w:pStyle w:val="Liststycke"/>
        <w:numPr>
          <w:ilvl w:val="1"/>
          <w:numId w:val="11"/>
        </w:numPr>
        <w:spacing w:before="240" w:line="240" w:lineRule="auto"/>
        <w:ind w:left="1124" w:hanging="562"/>
        <w:contextualSpacing w:val="0"/>
        <w:rPr>
          <w:sz w:val="22"/>
          <w:lang w:val="en-US"/>
        </w:rPr>
      </w:pPr>
      <w:r w:rsidRPr="00976B21">
        <w:rPr>
          <w:sz w:val="22"/>
          <w:lang w:val="en-US"/>
        </w:rPr>
        <w:t>The Parties understands that they are jointly responsible for compliance with all obligations which concerns data controllers under the GDPR. Each Party shall ensure appropriate technical and organizational measures to demonstrate that the Processing is performed in accordance with the GDPR.</w:t>
      </w:r>
    </w:p>
    <w:p w14:paraId="3E76B821" w14:textId="77777777" w:rsidR="00923112" w:rsidRPr="00976B21" w:rsidRDefault="00923112" w:rsidP="00AE5572">
      <w:pPr>
        <w:pStyle w:val="Liststycke"/>
        <w:numPr>
          <w:ilvl w:val="1"/>
          <w:numId w:val="11"/>
        </w:numPr>
        <w:spacing w:before="240" w:line="240" w:lineRule="auto"/>
        <w:ind w:left="1124" w:hanging="562"/>
        <w:contextualSpacing w:val="0"/>
        <w:rPr>
          <w:sz w:val="22"/>
          <w:lang w:val="en-US"/>
        </w:rPr>
      </w:pPr>
      <w:r w:rsidRPr="00976B21">
        <w:rPr>
          <w:sz w:val="22"/>
          <w:lang w:val="en-US"/>
        </w:rPr>
        <w:t>The Parties agrees that the joint purpose for the Processing, as documented in Appendix 2, is a scientific research purpose in accordance with the GDPR, unless otherwise is expressly documented in Appendix 2.</w:t>
      </w:r>
    </w:p>
    <w:p w14:paraId="6B829CEE" w14:textId="77777777" w:rsidR="00923112" w:rsidRPr="00976B21" w:rsidRDefault="00923112" w:rsidP="002A743D">
      <w:pPr>
        <w:pStyle w:val="Liststycke"/>
        <w:numPr>
          <w:ilvl w:val="1"/>
          <w:numId w:val="11"/>
        </w:numPr>
        <w:spacing w:before="240" w:after="160" w:line="240" w:lineRule="auto"/>
        <w:ind w:left="1124" w:hanging="562"/>
        <w:contextualSpacing w:val="0"/>
        <w:rPr>
          <w:sz w:val="22"/>
          <w:lang w:val="en-US"/>
        </w:rPr>
      </w:pPr>
      <w:r w:rsidRPr="00976B21">
        <w:rPr>
          <w:sz w:val="22"/>
          <w:lang w:val="en-US"/>
        </w:rPr>
        <w:t xml:space="preserve">The Parties agrees that any processing for another purpose than the one documented in Appendix 2 shall be considered a separate processing and the Party or Parties, which decides the purposes and means for the new processing is considered controller. </w:t>
      </w:r>
    </w:p>
    <w:p w14:paraId="0CCB5997" w14:textId="77777777" w:rsidR="00923112" w:rsidRPr="000774D6" w:rsidRDefault="00923112" w:rsidP="00AE5572">
      <w:pPr>
        <w:pStyle w:val="Liststycke"/>
        <w:numPr>
          <w:ilvl w:val="1"/>
          <w:numId w:val="11"/>
        </w:numPr>
        <w:spacing w:before="240" w:line="240" w:lineRule="auto"/>
        <w:ind w:left="1124" w:hanging="562"/>
        <w:contextualSpacing w:val="0"/>
        <w:rPr>
          <w:lang w:val="en-US"/>
        </w:rPr>
      </w:pPr>
      <w:r w:rsidRPr="000774D6">
        <w:rPr>
          <w:sz w:val="22"/>
          <w:lang w:val="en-US"/>
        </w:rPr>
        <w:t xml:space="preserve">The Parties agrees that if a Party is a Swedish public authority, this Party is considered controller, solely </w:t>
      </w:r>
      <w:r w:rsidRPr="004A60C2">
        <w:rPr>
          <w:sz w:val="22"/>
          <w:lang w:val="en-US"/>
        </w:rPr>
        <w:t>not jointly, for any processing which is necessary to uphold the Freedom of the Press Act (1949:105) and the Public Access to Information and Secrecy Act (2009:400).</w:t>
      </w:r>
    </w:p>
    <w:p w14:paraId="7038A488" w14:textId="77777777" w:rsidR="00923112" w:rsidRPr="00923112" w:rsidRDefault="00923112" w:rsidP="00923112">
      <w:pPr>
        <w:spacing w:before="0" w:line="276" w:lineRule="auto"/>
        <w:ind w:left="1134"/>
        <w:rPr>
          <w:sz w:val="22"/>
          <w:lang w:val="en-US"/>
        </w:rPr>
      </w:pPr>
      <w:r w:rsidRPr="00923112">
        <w:rPr>
          <w:sz w:val="22"/>
          <w:lang w:val="en-US"/>
        </w:rPr>
        <w:t>The Parties understands that a Swedish public authority, according to said acts, independently shall assess if a processing according to this section 3.5 is compliant with Data protection legislation.</w:t>
      </w:r>
    </w:p>
    <w:p w14:paraId="480CFBD4" w14:textId="77777777" w:rsidR="00923112" w:rsidRPr="00425B9A" w:rsidRDefault="00923112" w:rsidP="00923112">
      <w:pPr>
        <w:spacing w:before="0" w:line="276" w:lineRule="auto"/>
        <w:ind w:left="1134"/>
        <w:rPr>
          <w:sz w:val="22"/>
          <w:lang w:val="en-US"/>
        </w:rPr>
      </w:pPr>
      <w:r w:rsidRPr="00923112">
        <w:rPr>
          <w:sz w:val="22"/>
          <w:lang w:val="en-US"/>
        </w:rPr>
        <w:lastRenderedPageBreak/>
        <w:t xml:space="preserve">The Parties agrees to that one Party’s processing of personal data in accordance </w:t>
      </w:r>
      <w:r w:rsidRPr="00425B9A">
        <w:rPr>
          <w:sz w:val="22"/>
          <w:lang w:val="en-US"/>
        </w:rPr>
        <w:t xml:space="preserve">with this section, 3.5, is not to be considered a breach of this Agreement. </w:t>
      </w:r>
    </w:p>
    <w:p w14:paraId="3525C8C3" w14:textId="77777777" w:rsidR="00923112" w:rsidRPr="00425B9A" w:rsidRDefault="00923112" w:rsidP="00AE5572">
      <w:pPr>
        <w:pStyle w:val="Liststycke"/>
        <w:numPr>
          <w:ilvl w:val="1"/>
          <w:numId w:val="11"/>
        </w:numPr>
        <w:spacing w:before="240" w:line="240" w:lineRule="auto"/>
        <w:ind w:left="1124" w:hanging="562"/>
        <w:contextualSpacing w:val="0"/>
        <w:rPr>
          <w:sz w:val="22"/>
          <w:lang w:val="en-US"/>
        </w:rPr>
      </w:pPr>
      <w:r w:rsidRPr="00425B9A">
        <w:rPr>
          <w:sz w:val="22"/>
          <w:lang w:val="en-US"/>
        </w:rPr>
        <w:t>The Parties agree that the processing of personal data which a caregiver conducts in accordance with the Swedish Patient data act (2008:355) falls outside the scope of this Agreement. The Parties agree that such a processing is not to be considered a breach of this Agreement.</w:t>
      </w:r>
    </w:p>
    <w:p w14:paraId="0593A507" w14:textId="77777777" w:rsidR="00923112" w:rsidRPr="00425B9A" w:rsidRDefault="00923112" w:rsidP="00AE5572">
      <w:pPr>
        <w:pStyle w:val="Liststycke"/>
        <w:numPr>
          <w:ilvl w:val="1"/>
          <w:numId w:val="11"/>
        </w:numPr>
        <w:spacing w:before="240" w:line="240" w:lineRule="auto"/>
        <w:ind w:left="1124" w:hanging="562"/>
        <w:contextualSpacing w:val="0"/>
        <w:rPr>
          <w:sz w:val="22"/>
          <w:lang w:val="en-US"/>
        </w:rPr>
      </w:pPr>
      <w:r w:rsidRPr="00425B9A">
        <w:rPr>
          <w:sz w:val="22"/>
          <w:lang w:val="en-US"/>
        </w:rPr>
        <w:t>Since the Parties are joint controllers, any amendment to the Processing regulated in this Agreement demands the written approval of all Parties.</w:t>
      </w:r>
    </w:p>
    <w:p w14:paraId="0C2EBC43" w14:textId="77777777" w:rsidR="00923112" w:rsidRPr="00243595" w:rsidRDefault="00923112" w:rsidP="008A08DC">
      <w:pPr>
        <w:pStyle w:val="Rubrik2"/>
        <w:spacing w:before="500"/>
        <w:ind w:left="360" w:hanging="360"/>
        <w:rPr>
          <w:lang w:val="en-US"/>
        </w:rPr>
      </w:pPr>
      <w:bookmarkStart w:id="13" w:name="_Etikprövning"/>
      <w:bookmarkStart w:id="14" w:name="_Toc103014320"/>
      <w:bookmarkStart w:id="15" w:name="_Toc105656732"/>
      <w:bookmarkStart w:id="16" w:name="_Toc112701948"/>
      <w:bookmarkEnd w:id="13"/>
      <w:r w:rsidRPr="00243595">
        <w:rPr>
          <w:lang w:val="en-US"/>
        </w:rPr>
        <w:t>Ethical review</w:t>
      </w:r>
      <w:bookmarkEnd w:id="14"/>
      <w:bookmarkEnd w:id="15"/>
      <w:bookmarkEnd w:id="16"/>
    </w:p>
    <w:p w14:paraId="77F90B16" w14:textId="0AA635B5" w:rsidR="00923112" w:rsidRPr="002E4D65" w:rsidRDefault="00923112" w:rsidP="00AE5572">
      <w:pPr>
        <w:pStyle w:val="Liststycke"/>
        <w:numPr>
          <w:ilvl w:val="1"/>
          <w:numId w:val="11"/>
        </w:numPr>
        <w:spacing w:before="240" w:line="240" w:lineRule="auto"/>
        <w:ind w:left="1124" w:hanging="562"/>
        <w:contextualSpacing w:val="0"/>
        <w:rPr>
          <w:sz w:val="22"/>
          <w:lang w:val="en-US"/>
        </w:rPr>
      </w:pPr>
      <w:r w:rsidRPr="002E4D65">
        <w:rPr>
          <w:sz w:val="22"/>
          <w:lang w:val="en-US"/>
        </w:rPr>
        <w:t>The Processing postulates a prior approval from an Ethical Review Authority and that the Study Subject has given informed consent regarding their participation in the research.</w:t>
      </w:r>
    </w:p>
    <w:p w14:paraId="282B4667" w14:textId="77777777" w:rsidR="00923112" w:rsidRPr="0062363E" w:rsidRDefault="00923112" w:rsidP="00AE5572">
      <w:pPr>
        <w:pStyle w:val="Liststycke"/>
        <w:numPr>
          <w:ilvl w:val="1"/>
          <w:numId w:val="11"/>
        </w:numPr>
        <w:spacing w:before="240" w:line="240" w:lineRule="auto"/>
        <w:ind w:left="1124" w:hanging="562"/>
        <w:contextualSpacing w:val="0"/>
        <w:rPr>
          <w:sz w:val="22"/>
          <w:lang w:val="en-US"/>
        </w:rPr>
      </w:pPr>
      <w:r w:rsidRPr="0062363E">
        <w:rPr>
          <w:sz w:val="22"/>
          <w:lang w:val="en-US"/>
        </w:rPr>
        <w:t>In avoidance of any misunderstanding, this Agreement does not regulate the Parties responsibilities regarding scientific or ethical questions.</w:t>
      </w:r>
    </w:p>
    <w:p w14:paraId="1F389731" w14:textId="2B1EC9ED" w:rsidR="00923112" w:rsidRPr="00243595" w:rsidRDefault="00923112" w:rsidP="00BE54CD">
      <w:pPr>
        <w:pStyle w:val="Rubrik2"/>
        <w:spacing w:before="400"/>
        <w:ind w:left="360" w:hanging="360"/>
        <w:rPr>
          <w:lang w:val="en-US"/>
        </w:rPr>
      </w:pPr>
      <w:bookmarkStart w:id="17" w:name="_Toc103014321"/>
      <w:bookmarkStart w:id="18" w:name="_Toc105656733"/>
      <w:bookmarkStart w:id="19" w:name="_Toc112701949"/>
      <w:r w:rsidRPr="00243595">
        <w:rPr>
          <w:lang w:val="en-US"/>
        </w:rPr>
        <w:t>Rights of the data subjects</w:t>
      </w:r>
      <w:bookmarkEnd w:id="17"/>
      <w:bookmarkEnd w:id="18"/>
      <w:bookmarkEnd w:id="19"/>
    </w:p>
    <w:p w14:paraId="590CE800" w14:textId="12E47188" w:rsidR="00923112" w:rsidRPr="00272957" w:rsidRDefault="00923112" w:rsidP="00AE5572">
      <w:pPr>
        <w:pStyle w:val="Liststycke"/>
        <w:numPr>
          <w:ilvl w:val="1"/>
          <w:numId w:val="11"/>
        </w:numPr>
        <w:spacing w:before="240" w:line="240" w:lineRule="auto"/>
        <w:ind w:left="1124" w:hanging="562"/>
        <w:contextualSpacing w:val="0"/>
        <w:rPr>
          <w:sz w:val="22"/>
          <w:lang w:val="en-US"/>
        </w:rPr>
      </w:pPr>
      <w:r w:rsidRPr="00272957">
        <w:rPr>
          <w:sz w:val="22"/>
          <w:lang w:val="en-US"/>
        </w:rPr>
        <w:t>The Parties understand that a data subject has the right, according to the GDPR, to exercise his rights directly towards each of the Parties. Notwithstanding this, Appendix 3 describes the division that the parties choose to make among themselves as to whom has the main practical responsibility for handling the data subjects’ rights.</w:t>
      </w:r>
    </w:p>
    <w:p w14:paraId="5F2D207D" w14:textId="77777777" w:rsidR="00923112" w:rsidRPr="00F80B35" w:rsidRDefault="00923112" w:rsidP="00AE5572">
      <w:pPr>
        <w:pStyle w:val="Liststycke"/>
        <w:numPr>
          <w:ilvl w:val="1"/>
          <w:numId w:val="11"/>
        </w:numPr>
        <w:spacing w:before="240" w:line="240" w:lineRule="auto"/>
        <w:ind w:left="1124" w:hanging="562"/>
        <w:contextualSpacing w:val="0"/>
        <w:rPr>
          <w:sz w:val="22"/>
          <w:lang w:val="en-US"/>
        </w:rPr>
      </w:pPr>
      <w:r w:rsidRPr="00F80B35">
        <w:rPr>
          <w:sz w:val="22"/>
          <w:lang w:val="en-US"/>
        </w:rPr>
        <w:t>The Parties may designate a common point of contact for the purpose of facilitating the data subjects’ rights. If a Party has been designated as a common point of contact, this shall be documented in Appendix 3</w:t>
      </w:r>
    </w:p>
    <w:p w14:paraId="6144491A" w14:textId="77777777" w:rsidR="00923112" w:rsidRPr="00F80B35" w:rsidRDefault="00923112" w:rsidP="00AE5572">
      <w:pPr>
        <w:pStyle w:val="Liststycke"/>
        <w:numPr>
          <w:ilvl w:val="1"/>
          <w:numId w:val="11"/>
        </w:numPr>
        <w:spacing w:before="240" w:line="240" w:lineRule="auto"/>
        <w:ind w:left="1124" w:hanging="562"/>
        <w:contextualSpacing w:val="0"/>
        <w:rPr>
          <w:sz w:val="22"/>
          <w:lang w:val="en-US"/>
        </w:rPr>
      </w:pPr>
      <w:r w:rsidRPr="00F80B35">
        <w:rPr>
          <w:sz w:val="22"/>
          <w:lang w:val="en-US"/>
        </w:rPr>
        <w:t>Each Party shall ensure that the data subject is informed of the Processing in connection with the data subject giving his or her informed consent to participate in the research, or at the latest before the processing of the data subjects personal data in accordance with this Agreement begins.</w:t>
      </w:r>
    </w:p>
    <w:p w14:paraId="13B567A7" w14:textId="77777777" w:rsidR="00923112" w:rsidRPr="00F80B35" w:rsidRDefault="00923112" w:rsidP="00AE5572">
      <w:pPr>
        <w:pStyle w:val="Liststycke"/>
        <w:numPr>
          <w:ilvl w:val="1"/>
          <w:numId w:val="11"/>
        </w:numPr>
        <w:spacing w:before="240" w:line="240" w:lineRule="auto"/>
        <w:ind w:left="1124" w:hanging="562"/>
        <w:contextualSpacing w:val="0"/>
        <w:rPr>
          <w:sz w:val="22"/>
          <w:lang w:val="en-US"/>
        </w:rPr>
      </w:pPr>
      <w:r w:rsidRPr="00F80B35">
        <w:rPr>
          <w:sz w:val="22"/>
          <w:lang w:val="en-US"/>
        </w:rPr>
        <w:t>Each Party shall ensure that there is documented proof of a data subject having been informed and what that information has been comprised of.</w:t>
      </w:r>
    </w:p>
    <w:p w14:paraId="31563927" w14:textId="7B0E838E" w:rsidR="00A423E6" w:rsidRDefault="00923112" w:rsidP="00AE5572">
      <w:pPr>
        <w:pStyle w:val="Liststycke"/>
        <w:numPr>
          <w:ilvl w:val="1"/>
          <w:numId w:val="11"/>
        </w:numPr>
        <w:spacing w:before="240" w:line="240" w:lineRule="auto"/>
        <w:ind w:left="1124" w:hanging="562"/>
        <w:contextualSpacing w:val="0"/>
        <w:rPr>
          <w:sz w:val="22"/>
          <w:lang w:val="en-US"/>
        </w:rPr>
      </w:pPr>
      <w:r w:rsidRPr="00F80B35">
        <w:rPr>
          <w:sz w:val="22"/>
          <w:lang w:val="en-US"/>
        </w:rPr>
        <w:t>Data subjects have the right to access the essential content of this Agreement. The Parties agree that this right shall be addressed while taking account of each Parties mutual duty of confidentiality in accordance with Section 15 below.</w:t>
      </w:r>
    </w:p>
    <w:p w14:paraId="53DB4B95" w14:textId="77777777" w:rsidR="00923112" w:rsidRPr="008A08DC" w:rsidRDefault="00923112" w:rsidP="00BE54CD">
      <w:pPr>
        <w:pStyle w:val="Rubrik2"/>
        <w:spacing w:before="400"/>
        <w:ind w:left="360" w:hanging="360"/>
        <w:rPr>
          <w:lang w:val="en-US"/>
        </w:rPr>
      </w:pPr>
      <w:bookmarkStart w:id="20" w:name="_Toc103014322"/>
      <w:bookmarkStart w:id="21" w:name="_Toc105656734"/>
      <w:bookmarkStart w:id="22" w:name="_Toc112701950"/>
      <w:r w:rsidRPr="008A08DC">
        <w:rPr>
          <w:lang w:val="en-US"/>
        </w:rPr>
        <w:t>Technical and organizational security measures</w:t>
      </w:r>
      <w:bookmarkEnd w:id="20"/>
      <w:bookmarkEnd w:id="21"/>
      <w:bookmarkEnd w:id="22"/>
      <w:r w:rsidRPr="008A08DC">
        <w:rPr>
          <w:lang w:val="en-US"/>
        </w:rPr>
        <w:t xml:space="preserve"> </w:t>
      </w:r>
    </w:p>
    <w:p w14:paraId="1EEF78BC" w14:textId="438F9162" w:rsidR="00923112" w:rsidRPr="000C6703" w:rsidRDefault="00923112" w:rsidP="00AE5572">
      <w:pPr>
        <w:pStyle w:val="Liststycke"/>
        <w:numPr>
          <w:ilvl w:val="1"/>
          <w:numId w:val="11"/>
        </w:numPr>
        <w:spacing w:before="0" w:after="240" w:line="240" w:lineRule="auto"/>
        <w:ind w:left="1124" w:hanging="562"/>
        <w:contextualSpacing w:val="0"/>
        <w:rPr>
          <w:sz w:val="22"/>
          <w:lang w:val="en-US"/>
        </w:rPr>
      </w:pPr>
      <w:r w:rsidRPr="000C6703">
        <w:rPr>
          <w:sz w:val="22"/>
          <w:lang w:val="en-US"/>
        </w:rPr>
        <w:t xml:space="preserve">Taking into account the state of the art, the nature, scope, context and purposes of processing as well as the risk of varying degrees of likelihood and severity for the rights and freedoms of natural persons, each Party shall implement appropriate technical and organizational measures to ensure a level of security appropriate to the risk, and be able to show that the Processing is taking place in </w:t>
      </w:r>
      <w:r w:rsidRPr="000C6703">
        <w:rPr>
          <w:sz w:val="22"/>
          <w:lang w:val="en-US"/>
        </w:rPr>
        <w:lastRenderedPageBreak/>
        <w:t>accordance with GDPR and Data protection legislation. These measures shall be reviewed and updated at least once (1) a year.</w:t>
      </w:r>
    </w:p>
    <w:p w14:paraId="63F78376" w14:textId="77777777" w:rsidR="00923112" w:rsidRPr="000C6703" w:rsidRDefault="00923112" w:rsidP="00AE5572">
      <w:pPr>
        <w:pStyle w:val="Liststycke"/>
        <w:numPr>
          <w:ilvl w:val="1"/>
          <w:numId w:val="11"/>
        </w:numPr>
        <w:spacing w:before="0" w:after="240" w:line="240" w:lineRule="auto"/>
        <w:ind w:left="1124" w:hanging="562"/>
        <w:contextualSpacing w:val="0"/>
        <w:rPr>
          <w:sz w:val="22"/>
          <w:lang w:val="en-US"/>
        </w:rPr>
      </w:pPr>
      <w:r w:rsidRPr="000C6703">
        <w:rPr>
          <w:sz w:val="22"/>
          <w:lang w:val="en-US"/>
        </w:rPr>
        <w:t xml:space="preserve">Since the Processing takes place for a scientific research purpose, special requirements are placed on the protection of the data subject’s rights and freedoms. The safeguard measures shall ensure that technical and organizational measures have been put in place to ensure that the principle of data </w:t>
      </w:r>
      <w:proofErr w:type="gramStart"/>
      <w:r w:rsidRPr="000C6703">
        <w:rPr>
          <w:sz w:val="22"/>
          <w:lang w:val="en-US"/>
        </w:rPr>
        <w:t>minimization in particular, is</w:t>
      </w:r>
      <w:proofErr w:type="gramEnd"/>
      <w:r w:rsidRPr="000C6703">
        <w:rPr>
          <w:sz w:val="22"/>
          <w:lang w:val="en-US"/>
        </w:rPr>
        <w:t xml:space="preserve"> observed. These measures shall include pseudonymization, provided that the common purpose for the Processing set out in Appendix 2 can be fulfilled in that way.</w:t>
      </w:r>
    </w:p>
    <w:p w14:paraId="297B246E" w14:textId="77777777" w:rsidR="00923112" w:rsidRPr="000C6703" w:rsidRDefault="00923112" w:rsidP="00AE5572">
      <w:pPr>
        <w:pStyle w:val="Liststycke"/>
        <w:numPr>
          <w:ilvl w:val="1"/>
          <w:numId w:val="11"/>
        </w:numPr>
        <w:spacing w:before="0" w:after="240" w:line="240" w:lineRule="auto"/>
        <w:ind w:left="1124" w:hanging="562"/>
        <w:contextualSpacing w:val="0"/>
        <w:rPr>
          <w:sz w:val="22"/>
          <w:lang w:val="en-US"/>
        </w:rPr>
      </w:pPr>
      <w:r w:rsidRPr="000C6703">
        <w:rPr>
          <w:sz w:val="22"/>
          <w:lang w:val="en-US"/>
        </w:rPr>
        <w:t>The Parties agree that special categories of personal data and national identification numbers are processed and that this places specific demands on technical and organizational measures.</w:t>
      </w:r>
    </w:p>
    <w:p w14:paraId="74314C46" w14:textId="77777777" w:rsidR="00923112" w:rsidRPr="000C6703" w:rsidRDefault="00923112" w:rsidP="00AE5572">
      <w:pPr>
        <w:pStyle w:val="Liststycke"/>
        <w:numPr>
          <w:ilvl w:val="1"/>
          <w:numId w:val="11"/>
        </w:numPr>
        <w:spacing w:before="0" w:after="240" w:line="240" w:lineRule="auto"/>
        <w:ind w:left="1124" w:hanging="562"/>
        <w:contextualSpacing w:val="0"/>
        <w:rPr>
          <w:sz w:val="22"/>
          <w:lang w:val="en-US"/>
        </w:rPr>
      </w:pPr>
      <w:r w:rsidRPr="000C6703">
        <w:rPr>
          <w:sz w:val="22"/>
          <w:lang w:val="en-US"/>
        </w:rPr>
        <w:t>Considering this Section 6, each Party shall comply with the technical and organizational security measures documented in Appendix 4. Nothing in this Agreement shall be interpreted as an impediment for a Party to impose any further technical or organizational measures if appropriate, given the risks, of varying degrees of likelihood and severity, for the rights and freedoms of natural persons.</w:t>
      </w:r>
    </w:p>
    <w:p w14:paraId="2248221A" w14:textId="77777777" w:rsidR="00923112" w:rsidRPr="002705CE" w:rsidRDefault="00923112" w:rsidP="008A08DC">
      <w:pPr>
        <w:pStyle w:val="Rubrik2"/>
        <w:spacing w:before="500"/>
        <w:ind w:left="360" w:hanging="360"/>
        <w:rPr>
          <w:lang w:val="en-US"/>
        </w:rPr>
      </w:pPr>
      <w:bookmarkStart w:id="23" w:name="_Toc103014323"/>
      <w:bookmarkStart w:id="24" w:name="_Toc105656735"/>
      <w:bookmarkStart w:id="25" w:name="_Toc112701951"/>
      <w:r w:rsidRPr="002705CE">
        <w:rPr>
          <w:lang w:val="en-US"/>
        </w:rPr>
        <w:t>Data Protection Impact Assessment (DPIA)</w:t>
      </w:r>
      <w:bookmarkEnd w:id="23"/>
      <w:bookmarkEnd w:id="24"/>
      <w:bookmarkEnd w:id="25"/>
    </w:p>
    <w:p w14:paraId="4450FEE9" w14:textId="38DAC720" w:rsidR="00923112" w:rsidRPr="003E130E" w:rsidRDefault="00923112" w:rsidP="00AE5572">
      <w:pPr>
        <w:pStyle w:val="Liststycke"/>
        <w:numPr>
          <w:ilvl w:val="1"/>
          <w:numId w:val="11"/>
        </w:numPr>
        <w:spacing w:before="0" w:after="240" w:line="240" w:lineRule="auto"/>
        <w:ind w:left="1124" w:hanging="562"/>
        <w:contextualSpacing w:val="0"/>
        <w:rPr>
          <w:sz w:val="22"/>
          <w:lang w:val="en-US"/>
        </w:rPr>
      </w:pPr>
      <w:r w:rsidRPr="003E130E">
        <w:rPr>
          <w:sz w:val="22"/>
          <w:lang w:val="en-US"/>
        </w:rPr>
        <w:t>Before starting the Processing, the Parties shall jointly make an assessment whether a DPIA shall be carried out regarding the Processing. The Parties shall pay particular attention to national decisions on when a DPIA is to be carried out. A DPIA shall always be carried out if a Party so requests. A decision not to carry out a DPIA shall be agreed between the Parties and shall be documented in writing.</w:t>
      </w:r>
    </w:p>
    <w:p w14:paraId="725004B6" w14:textId="77777777" w:rsidR="00923112" w:rsidRPr="003E130E" w:rsidRDefault="00923112" w:rsidP="00AE5572">
      <w:pPr>
        <w:pStyle w:val="Liststycke"/>
        <w:numPr>
          <w:ilvl w:val="1"/>
          <w:numId w:val="11"/>
        </w:numPr>
        <w:spacing w:before="0" w:after="240" w:line="240" w:lineRule="auto"/>
        <w:ind w:left="1124" w:hanging="562"/>
        <w:contextualSpacing w:val="0"/>
        <w:rPr>
          <w:sz w:val="22"/>
          <w:lang w:val="en-US"/>
        </w:rPr>
      </w:pPr>
      <w:r w:rsidRPr="003E130E">
        <w:rPr>
          <w:sz w:val="22"/>
          <w:lang w:val="en-US"/>
        </w:rPr>
        <w:t>The Parties Data Protection Officers shall, in particular within the framework of this Section 7, be given the opportunity to (i) issue an opinion on whether or not to carry out a DPIA, (ii) monitor the process of a DPIA; (iii) issue a statement whether the Data Protection Officer agrees with the conclusions of the DPIA, and (iv) whether the Parties shall conduct a prior consultation.</w:t>
      </w:r>
    </w:p>
    <w:p w14:paraId="02D1B2AE" w14:textId="77777777" w:rsidR="00923112" w:rsidRPr="003E130E" w:rsidRDefault="00923112" w:rsidP="00AE5572">
      <w:pPr>
        <w:pStyle w:val="Liststycke"/>
        <w:numPr>
          <w:ilvl w:val="1"/>
          <w:numId w:val="11"/>
        </w:numPr>
        <w:spacing w:before="0" w:after="240" w:line="240" w:lineRule="auto"/>
        <w:ind w:left="1124" w:hanging="562"/>
        <w:contextualSpacing w:val="0"/>
        <w:rPr>
          <w:sz w:val="22"/>
          <w:lang w:val="en-US"/>
        </w:rPr>
      </w:pPr>
      <w:r w:rsidRPr="003E130E">
        <w:rPr>
          <w:sz w:val="22"/>
          <w:lang w:val="en-US"/>
        </w:rPr>
        <w:t>A DPIA regarding the Processing shall be carried out by one of the Parties. Other parties shall assist this Party with information and advice for the implementation of the DPIA.</w:t>
      </w:r>
    </w:p>
    <w:p w14:paraId="41C07ABA" w14:textId="77777777" w:rsidR="00923112" w:rsidRPr="003E130E" w:rsidRDefault="00923112" w:rsidP="00AE5572">
      <w:pPr>
        <w:pStyle w:val="Liststycke"/>
        <w:numPr>
          <w:ilvl w:val="1"/>
          <w:numId w:val="11"/>
        </w:numPr>
        <w:spacing w:before="0" w:after="240" w:line="240" w:lineRule="auto"/>
        <w:ind w:left="1124" w:hanging="562"/>
        <w:contextualSpacing w:val="0"/>
        <w:rPr>
          <w:sz w:val="22"/>
          <w:lang w:val="en-US"/>
        </w:rPr>
      </w:pPr>
      <w:r w:rsidRPr="003E130E">
        <w:rPr>
          <w:sz w:val="22"/>
          <w:lang w:val="en-US"/>
        </w:rPr>
        <w:t>A DPIA shall be approved in writing by the other Parties. The Parties thereby also decide whether the DPIA shall result in a prior consultation with the supervisory authority in accordance with the GDPR.</w:t>
      </w:r>
    </w:p>
    <w:p w14:paraId="10311049" w14:textId="77777777" w:rsidR="00923112" w:rsidRPr="003E130E" w:rsidRDefault="00923112" w:rsidP="00AE5572">
      <w:pPr>
        <w:pStyle w:val="Liststycke"/>
        <w:numPr>
          <w:ilvl w:val="1"/>
          <w:numId w:val="11"/>
        </w:numPr>
        <w:spacing w:before="0" w:after="240" w:line="240" w:lineRule="auto"/>
        <w:ind w:left="1124" w:hanging="562"/>
        <w:contextualSpacing w:val="0"/>
        <w:rPr>
          <w:sz w:val="22"/>
          <w:lang w:val="en-US"/>
        </w:rPr>
      </w:pPr>
      <w:r w:rsidRPr="003E130E">
        <w:rPr>
          <w:sz w:val="22"/>
          <w:lang w:val="en-US"/>
        </w:rPr>
        <w:t>A DPIA, if the Parties decides to implement it, shall without exception be completed before the Processing begins.</w:t>
      </w:r>
    </w:p>
    <w:p w14:paraId="556D6281" w14:textId="77777777" w:rsidR="00923112" w:rsidRPr="002705CE" w:rsidRDefault="00923112" w:rsidP="00BE54CD">
      <w:pPr>
        <w:pStyle w:val="Rubrik2"/>
        <w:spacing w:before="500" w:after="160" w:line="269" w:lineRule="auto"/>
        <w:ind w:left="360" w:hanging="360"/>
        <w:rPr>
          <w:lang w:val="en-US"/>
        </w:rPr>
      </w:pPr>
      <w:bookmarkStart w:id="26" w:name="_Toc103014324"/>
      <w:bookmarkStart w:id="27" w:name="_Toc105656736"/>
      <w:bookmarkStart w:id="28" w:name="_Toc112701952"/>
      <w:r w:rsidRPr="002705CE">
        <w:rPr>
          <w:lang w:val="en-US"/>
        </w:rPr>
        <w:t>Responsible supervisory authority for data protection</w:t>
      </w:r>
      <w:bookmarkEnd w:id="26"/>
      <w:bookmarkEnd w:id="27"/>
      <w:bookmarkEnd w:id="28"/>
    </w:p>
    <w:p w14:paraId="6068D643" w14:textId="14B7FC3B" w:rsidR="00923112" w:rsidRPr="009B0EFF" w:rsidRDefault="00923112" w:rsidP="00AE5572">
      <w:pPr>
        <w:pStyle w:val="Liststycke"/>
        <w:numPr>
          <w:ilvl w:val="1"/>
          <w:numId w:val="11"/>
        </w:numPr>
        <w:spacing w:before="240" w:after="480" w:line="240" w:lineRule="auto"/>
        <w:ind w:left="1124" w:hanging="562"/>
        <w:contextualSpacing w:val="0"/>
        <w:rPr>
          <w:sz w:val="22"/>
          <w:lang w:val="en-US"/>
        </w:rPr>
      </w:pPr>
      <w:r w:rsidRPr="009B0EFF">
        <w:rPr>
          <w:sz w:val="22"/>
          <w:lang w:val="en-US"/>
        </w:rPr>
        <w:t>Since all Parties do not have their principal place of business in Sweden. The Parties common interpretation is that [SWEDEN´s] supervisory authority for data protection is the responsible supervisory authority for the Processing.</w:t>
      </w:r>
    </w:p>
    <w:p w14:paraId="30F0BBA8" w14:textId="77777777" w:rsidR="00923112" w:rsidRPr="00243595" w:rsidRDefault="00923112" w:rsidP="00113CF7">
      <w:pPr>
        <w:pStyle w:val="Rubrik2"/>
        <w:ind w:left="360" w:hanging="360"/>
        <w:rPr>
          <w:lang w:val="en-US"/>
        </w:rPr>
      </w:pPr>
      <w:bookmarkStart w:id="29" w:name="_Toc103014325"/>
      <w:bookmarkStart w:id="30" w:name="_Toc105656737"/>
      <w:bookmarkStart w:id="31" w:name="_Toc112701953"/>
      <w:r w:rsidRPr="00243595">
        <w:rPr>
          <w:lang w:val="en-US"/>
        </w:rPr>
        <w:lastRenderedPageBreak/>
        <w:t>Personal data breach</w:t>
      </w:r>
      <w:bookmarkEnd w:id="29"/>
      <w:bookmarkEnd w:id="30"/>
      <w:bookmarkEnd w:id="31"/>
    </w:p>
    <w:p w14:paraId="1E5BE46A" w14:textId="09F8C54C" w:rsidR="00923112" w:rsidRPr="00371443" w:rsidRDefault="00923112" w:rsidP="00AE5572">
      <w:pPr>
        <w:pStyle w:val="Liststycke"/>
        <w:numPr>
          <w:ilvl w:val="1"/>
          <w:numId w:val="11"/>
        </w:numPr>
        <w:spacing w:before="0" w:after="240" w:line="240" w:lineRule="auto"/>
        <w:ind w:left="1124" w:hanging="562"/>
        <w:contextualSpacing w:val="0"/>
        <w:rPr>
          <w:sz w:val="22"/>
          <w:lang w:val="en-US"/>
        </w:rPr>
      </w:pPr>
      <w:r w:rsidRPr="00371443">
        <w:rPr>
          <w:sz w:val="22"/>
          <w:lang w:val="en-US"/>
        </w:rPr>
        <w:t>The Parties understand that, within the framework of the Processing, they are jointly responsible for complying with obligations under the GDPR regarding notification of a personal data incident to a competent supervisory authority and regarding informing data subjects about a personal data breach.</w:t>
      </w:r>
    </w:p>
    <w:p w14:paraId="46567BD1" w14:textId="77777777" w:rsidR="00923112" w:rsidRPr="00371443" w:rsidRDefault="00923112" w:rsidP="00AE5572">
      <w:pPr>
        <w:pStyle w:val="Liststycke"/>
        <w:numPr>
          <w:ilvl w:val="1"/>
          <w:numId w:val="11"/>
        </w:numPr>
        <w:spacing w:before="0" w:after="240" w:line="240" w:lineRule="auto"/>
        <w:ind w:left="1124" w:hanging="562"/>
        <w:contextualSpacing w:val="0"/>
        <w:rPr>
          <w:sz w:val="22"/>
          <w:lang w:val="en-US"/>
        </w:rPr>
      </w:pPr>
      <w:r w:rsidRPr="00371443">
        <w:rPr>
          <w:sz w:val="22"/>
          <w:lang w:val="en-US"/>
        </w:rPr>
        <w:t>A Party shall immediately inform the other Parties if the Party has become aware of a personal data breach or suspects that a personal data breach has occurred. This obligation to inform other Parties immediately also applies outside office hours and during public holidays.</w:t>
      </w:r>
    </w:p>
    <w:p w14:paraId="7ED8DB70" w14:textId="77777777" w:rsidR="00923112" w:rsidRPr="00371443" w:rsidRDefault="00923112" w:rsidP="00AE5572">
      <w:pPr>
        <w:pStyle w:val="Liststycke"/>
        <w:numPr>
          <w:ilvl w:val="1"/>
          <w:numId w:val="11"/>
        </w:numPr>
        <w:spacing w:before="0" w:after="240" w:line="240" w:lineRule="auto"/>
        <w:ind w:left="1124" w:hanging="562"/>
        <w:contextualSpacing w:val="0"/>
        <w:rPr>
          <w:sz w:val="22"/>
          <w:lang w:val="en-US"/>
        </w:rPr>
      </w:pPr>
      <w:r w:rsidRPr="00371443">
        <w:rPr>
          <w:sz w:val="22"/>
          <w:lang w:val="en-US"/>
        </w:rPr>
        <w:t>A personal data breach shall be reported to the competent supervisory authority, in accordance with this section 9, without undue delay and, not later than seventy-two (72) hours after a Party became aware of the personal data breach, unless the personal data incident is unlikely to pose a risk to the rights and freedoms of natural persons.</w:t>
      </w:r>
    </w:p>
    <w:p w14:paraId="606741B6" w14:textId="77777777" w:rsidR="00923112" w:rsidRPr="0015269D" w:rsidRDefault="00923112" w:rsidP="00AE5572">
      <w:pPr>
        <w:pStyle w:val="Liststycke"/>
        <w:numPr>
          <w:ilvl w:val="1"/>
          <w:numId w:val="11"/>
        </w:numPr>
        <w:spacing w:before="0" w:after="240" w:line="240" w:lineRule="auto"/>
        <w:ind w:left="1124" w:hanging="562"/>
        <w:contextualSpacing w:val="0"/>
        <w:rPr>
          <w:sz w:val="22"/>
          <w:lang w:val="en-US"/>
        </w:rPr>
      </w:pPr>
      <w:proofErr w:type="gramStart"/>
      <w:r w:rsidRPr="0015269D">
        <w:rPr>
          <w:sz w:val="22"/>
          <w:lang w:val="en-US"/>
        </w:rPr>
        <w:t>In order to</w:t>
      </w:r>
      <w:proofErr w:type="gramEnd"/>
      <w:r w:rsidRPr="0015269D">
        <w:rPr>
          <w:sz w:val="22"/>
          <w:lang w:val="en-US"/>
        </w:rPr>
        <w:t xml:space="preserve"> avoid misunderstandings, each Party shall, in accordance with Appendix 4, apply appropriate technical and organizational security measures to reduce the risk of personal data breaches. </w:t>
      </w:r>
    </w:p>
    <w:p w14:paraId="7450BDDA" w14:textId="77777777" w:rsidR="00923112" w:rsidRPr="0015269D" w:rsidRDefault="00923112" w:rsidP="00AE5572">
      <w:pPr>
        <w:pStyle w:val="Liststycke"/>
        <w:numPr>
          <w:ilvl w:val="1"/>
          <w:numId w:val="11"/>
        </w:numPr>
        <w:spacing w:before="0" w:after="240" w:line="240" w:lineRule="auto"/>
        <w:ind w:left="1124" w:hanging="562"/>
        <w:contextualSpacing w:val="0"/>
        <w:rPr>
          <w:sz w:val="22"/>
          <w:lang w:val="en-US"/>
        </w:rPr>
      </w:pPr>
      <w:r w:rsidRPr="0015269D">
        <w:rPr>
          <w:sz w:val="22"/>
          <w:lang w:val="en-US"/>
        </w:rPr>
        <w:t>The Parties shall keep a joint list of established or suspected personal data incidents.</w:t>
      </w:r>
    </w:p>
    <w:p w14:paraId="5890531F" w14:textId="77777777" w:rsidR="00923112" w:rsidRPr="00243595" w:rsidRDefault="00923112" w:rsidP="008A08DC">
      <w:pPr>
        <w:pStyle w:val="Rubrik2"/>
        <w:spacing w:before="500"/>
        <w:ind w:left="360" w:hanging="360"/>
        <w:rPr>
          <w:lang w:val="en-US"/>
        </w:rPr>
      </w:pPr>
      <w:bookmarkStart w:id="32" w:name="_Toc103014326"/>
      <w:bookmarkStart w:id="33" w:name="_Toc105656738"/>
      <w:bookmarkStart w:id="34" w:name="_Toc112701954"/>
      <w:r w:rsidRPr="00243595">
        <w:rPr>
          <w:lang w:val="en-US"/>
        </w:rPr>
        <w:t>Data processor</w:t>
      </w:r>
      <w:bookmarkEnd w:id="32"/>
      <w:bookmarkEnd w:id="33"/>
      <w:bookmarkEnd w:id="34"/>
    </w:p>
    <w:p w14:paraId="33D1C113" w14:textId="405458B0" w:rsidR="00923112" w:rsidRPr="00694B03" w:rsidRDefault="00923112" w:rsidP="00AE5572">
      <w:pPr>
        <w:pStyle w:val="Liststycke"/>
        <w:numPr>
          <w:ilvl w:val="1"/>
          <w:numId w:val="11"/>
        </w:numPr>
        <w:spacing w:before="0" w:after="240" w:line="240" w:lineRule="auto"/>
        <w:ind w:left="1124" w:hanging="562"/>
        <w:contextualSpacing w:val="0"/>
        <w:rPr>
          <w:sz w:val="22"/>
          <w:lang w:val="en-US"/>
        </w:rPr>
      </w:pPr>
      <w:r w:rsidRPr="00694B03">
        <w:rPr>
          <w:sz w:val="22"/>
          <w:lang w:val="en-US"/>
        </w:rPr>
        <w:t>A Party may assign a data processor to process personal data within the framework of this Agreement only with the written consent of all Parties. A data processor documented in Appendix 5 shall be deemed to have been engaged with the written consent of all parties in accordance with the first sentence of this section</w:t>
      </w:r>
    </w:p>
    <w:p w14:paraId="10E8D690" w14:textId="77777777" w:rsidR="00923112" w:rsidRPr="00694B03" w:rsidRDefault="00923112" w:rsidP="00AE5572">
      <w:pPr>
        <w:pStyle w:val="Liststycke"/>
        <w:numPr>
          <w:ilvl w:val="1"/>
          <w:numId w:val="11"/>
        </w:numPr>
        <w:spacing w:before="0" w:after="240" w:line="240" w:lineRule="auto"/>
        <w:ind w:left="1124" w:hanging="562"/>
        <w:contextualSpacing w:val="0"/>
        <w:rPr>
          <w:sz w:val="22"/>
          <w:lang w:val="en-US"/>
        </w:rPr>
      </w:pPr>
      <w:r w:rsidRPr="00694B03">
        <w:rPr>
          <w:sz w:val="22"/>
          <w:lang w:val="en-US"/>
        </w:rPr>
        <w:t>Before hiring a data processor, that Party shall ensure that the processor can provide sufficient guarantees of implementing adequate technical and organizational measures to ensure that the processing meets the requirements of the GDPR and this Agreement and ensure that the data subjects’ rights are protected. In accordance with this, that Party shall carry out a risk assessment to ensure that the data processor’s guarantees are sufficient.</w:t>
      </w:r>
    </w:p>
    <w:p w14:paraId="5AC03CC3" w14:textId="0C3B24F5" w:rsidR="00923112" w:rsidRPr="00694B03" w:rsidRDefault="00923112" w:rsidP="00AE5572">
      <w:pPr>
        <w:pStyle w:val="Liststycke"/>
        <w:numPr>
          <w:ilvl w:val="1"/>
          <w:numId w:val="11"/>
        </w:numPr>
        <w:spacing w:before="0" w:after="240" w:line="240" w:lineRule="auto"/>
        <w:ind w:left="1124" w:hanging="562"/>
        <w:contextualSpacing w:val="0"/>
        <w:rPr>
          <w:sz w:val="22"/>
          <w:lang w:val="en-US"/>
        </w:rPr>
      </w:pPr>
      <w:r w:rsidRPr="00694B03">
        <w:rPr>
          <w:sz w:val="22"/>
          <w:lang w:val="en-US"/>
        </w:rPr>
        <w:t>A Party is liable to the other Parties for the content of the agreement or legal act (personal data processing agreement), signed with a</w:t>
      </w:r>
      <w:r w:rsidR="0045208F" w:rsidRPr="00694B03">
        <w:rPr>
          <w:sz w:val="22"/>
          <w:lang w:val="en-US"/>
        </w:rPr>
        <w:t xml:space="preserve"> </w:t>
      </w:r>
      <w:r w:rsidRPr="00694B03">
        <w:rPr>
          <w:sz w:val="22"/>
          <w:lang w:val="en-US"/>
        </w:rPr>
        <w:t>data processor,</w:t>
      </w:r>
      <w:r w:rsidR="0045208F" w:rsidRPr="00694B03">
        <w:rPr>
          <w:sz w:val="22"/>
          <w:lang w:val="en-US"/>
        </w:rPr>
        <w:t xml:space="preserve"> </w:t>
      </w:r>
      <w:r w:rsidRPr="00694B03">
        <w:rPr>
          <w:sz w:val="22"/>
          <w:lang w:val="en-US"/>
        </w:rPr>
        <w:t>fulfilling requirements set in the Data Protection Legislation and in this Agreement.</w:t>
      </w:r>
    </w:p>
    <w:p w14:paraId="1BE7E965" w14:textId="7152DDB7" w:rsidR="00923112" w:rsidRPr="002705CE" w:rsidRDefault="00923112" w:rsidP="008D3099">
      <w:pPr>
        <w:pStyle w:val="Rubrik2"/>
        <w:ind w:left="360" w:hanging="360"/>
        <w:rPr>
          <w:lang w:val="en-US"/>
        </w:rPr>
      </w:pPr>
      <w:bookmarkStart w:id="35" w:name="_Toc103014327"/>
      <w:bookmarkStart w:id="36" w:name="_Toc105656739"/>
      <w:bookmarkStart w:id="37" w:name="_Toc112701955"/>
      <w:r w:rsidRPr="002705CE">
        <w:rPr>
          <w:lang w:val="en-US"/>
        </w:rPr>
        <w:t>Transfers of personal data to a third country or an international organization</w:t>
      </w:r>
      <w:bookmarkEnd w:id="35"/>
      <w:bookmarkEnd w:id="36"/>
      <w:bookmarkEnd w:id="37"/>
    </w:p>
    <w:p w14:paraId="2AF19864" w14:textId="0C4DDF8C" w:rsidR="00923112" w:rsidRPr="00923112" w:rsidRDefault="00923112" w:rsidP="00AE5572">
      <w:pPr>
        <w:numPr>
          <w:ilvl w:val="1"/>
          <w:numId w:val="11"/>
        </w:numPr>
        <w:spacing w:before="0" w:after="480" w:line="240" w:lineRule="auto"/>
        <w:ind w:left="1124" w:hanging="562"/>
        <w:contextualSpacing/>
        <w:rPr>
          <w:sz w:val="22"/>
          <w:lang w:val="en-US"/>
        </w:rPr>
      </w:pPr>
      <w:r w:rsidRPr="00923112">
        <w:rPr>
          <w:sz w:val="22"/>
          <w:lang w:val="en-US"/>
        </w:rPr>
        <w:t>Unless it is expressly documented in Appendix 2 that the Processing includes the transfer of personal data to a third country or an international organization, according to GDPR Chapter V, the Party transferring personal data to a third country or an international organization is solely controller, individually and not jointly, for any such transfer.</w:t>
      </w:r>
    </w:p>
    <w:p w14:paraId="116FFFDC" w14:textId="1BB03136" w:rsidR="00923112" w:rsidRPr="00243595" w:rsidRDefault="00923112" w:rsidP="002705CE">
      <w:pPr>
        <w:pStyle w:val="Rubrik2"/>
        <w:ind w:left="360" w:hanging="360"/>
        <w:rPr>
          <w:lang w:val="en-US"/>
        </w:rPr>
      </w:pPr>
      <w:bookmarkStart w:id="38" w:name="_Toc103014328"/>
      <w:bookmarkStart w:id="39" w:name="_Toc105656740"/>
      <w:bookmarkStart w:id="40" w:name="_Toc112701956"/>
      <w:r w:rsidRPr="00243595">
        <w:rPr>
          <w:lang w:val="en-US"/>
        </w:rPr>
        <w:lastRenderedPageBreak/>
        <w:t>Record of processing activities</w:t>
      </w:r>
      <w:bookmarkEnd w:id="38"/>
      <w:bookmarkEnd w:id="39"/>
      <w:bookmarkEnd w:id="40"/>
    </w:p>
    <w:p w14:paraId="10B751FF" w14:textId="02144EDB" w:rsidR="00923112" w:rsidRPr="00923112" w:rsidRDefault="00923112" w:rsidP="00AE5572">
      <w:pPr>
        <w:numPr>
          <w:ilvl w:val="1"/>
          <w:numId w:val="11"/>
        </w:numPr>
        <w:spacing w:before="0" w:after="520" w:line="240" w:lineRule="auto"/>
        <w:ind w:left="1124" w:hanging="562"/>
        <w:contextualSpacing/>
        <w:rPr>
          <w:sz w:val="22"/>
          <w:lang w:val="en-US"/>
        </w:rPr>
      </w:pPr>
      <w:r w:rsidRPr="00923112">
        <w:rPr>
          <w:sz w:val="22"/>
          <w:lang w:val="en-US"/>
        </w:rPr>
        <w:t>Each Party shall maintain a record of processing activities in accordance with Article 30 GDPR (Record of processing activities) which includes the joint pro</w:t>
      </w:r>
      <w:r w:rsidR="00C533CA">
        <w:rPr>
          <w:sz w:val="22"/>
          <w:lang w:val="en-US"/>
        </w:rPr>
        <w:t>c</w:t>
      </w:r>
      <w:r w:rsidRPr="00923112">
        <w:rPr>
          <w:sz w:val="22"/>
          <w:lang w:val="en-US"/>
        </w:rPr>
        <w:t>essing.</w:t>
      </w:r>
    </w:p>
    <w:p w14:paraId="63D16A84" w14:textId="7A292725" w:rsidR="00923112" w:rsidRPr="00243595" w:rsidRDefault="00923112" w:rsidP="002705CE">
      <w:pPr>
        <w:pStyle w:val="Rubrik2"/>
        <w:ind w:left="360" w:hanging="360"/>
        <w:rPr>
          <w:lang w:val="en-US"/>
        </w:rPr>
      </w:pPr>
      <w:bookmarkStart w:id="41" w:name="_Toc103014329"/>
      <w:bookmarkStart w:id="42" w:name="_Toc105656741"/>
      <w:bookmarkStart w:id="43" w:name="_Toc112701957"/>
      <w:r w:rsidRPr="00243595">
        <w:rPr>
          <w:lang w:val="en-US"/>
        </w:rPr>
        <w:t>Costs</w:t>
      </w:r>
      <w:bookmarkEnd w:id="41"/>
      <w:bookmarkEnd w:id="42"/>
      <w:bookmarkEnd w:id="43"/>
    </w:p>
    <w:p w14:paraId="73F043B5" w14:textId="52C09C75" w:rsidR="00923112" w:rsidRPr="00CC28ED" w:rsidRDefault="00923112" w:rsidP="008A08DC">
      <w:pPr>
        <w:pStyle w:val="Liststycke"/>
        <w:numPr>
          <w:ilvl w:val="1"/>
          <w:numId w:val="11"/>
        </w:numPr>
        <w:spacing w:before="0" w:after="480" w:line="240" w:lineRule="auto"/>
        <w:ind w:left="1124" w:hanging="562"/>
        <w:contextualSpacing w:val="0"/>
        <w:rPr>
          <w:sz w:val="22"/>
          <w:lang w:val="en-US"/>
        </w:rPr>
      </w:pPr>
      <w:r w:rsidRPr="00CC28ED">
        <w:rPr>
          <w:sz w:val="22"/>
          <w:lang w:val="en-US"/>
        </w:rPr>
        <w:t>Within the framework of this Agreement, each Party shall bear its own costs, unless otherwise expressly agreed between the Parties.</w:t>
      </w:r>
    </w:p>
    <w:p w14:paraId="63627D53" w14:textId="370FEB13" w:rsidR="00923112" w:rsidRPr="00243595" w:rsidRDefault="00923112" w:rsidP="002705CE">
      <w:pPr>
        <w:pStyle w:val="Rubrik2"/>
        <w:ind w:left="360" w:hanging="360"/>
        <w:rPr>
          <w:lang w:val="en-US"/>
        </w:rPr>
      </w:pPr>
      <w:bookmarkStart w:id="44" w:name="_Toc103014330"/>
      <w:bookmarkStart w:id="45" w:name="_Toc105656742"/>
      <w:bookmarkStart w:id="46" w:name="_Toc112701958"/>
      <w:r w:rsidRPr="00243595">
        <w:rPr>
          <w:lang w:val="en-US"/>
        </w:rPr>
        <w:t>Liability</w:t>
      </w:r>
      <w:bookmarkEnd w:id="44"/>
      <w:bookmarkEnd w:id="45"/>
      <w:bookmarkEnd w:id="46"/>
    </w:p>
    <w:p w14:paraId="546EBBAF" w14:textId="0BEA4691" w:rsidR="00923112" w:rsidRPr="007654D9" w:rsidRDefault="00923112" w:rsidP="00AE5572">
      <w:pPr>
        <w:pStyle w:val="Liststycke"/>
        <w:numPr>
          <w:ilvl w:val="1"/>
          <w:numId w:val="11"/>
        </w:numPr>
        <w:spacing w:before="0" w:after="240" w:line="240" w:lineRule="auto"/>
        <w:ind w:left="1124" w:hanging="562"/>
        <w:contextualSpacing w:val="0"/>
        <w:rPr>
          <w:sz w:val="22"/>
          <w:lang w:val="en-US"/>
        </w:rPr>
      </w:pPr>
      <w:r w:rsidRPr="007654D9">
        <w:rPr>
          <w:sz w:val="22"/>
          <w:lang w:val="en-US"/>
        </w:rPr>
        <w:t>The parties agrees that they are jointly and severally liable for damages in relation to the data subject. Nothing in this Agreement shall be construed as restricting the data subject’s right to indemnity under the Data Protection Legislation.</w:t>
      </w:r>
    </w:p>
    <w:p w14:paraId="3722FCF2" w14:textId="77777777" w:rsidR="00923112" w:rsidRPr="007654D9" w:rsidRDefault="00923112" w:rsidP="00AE5572">
      <w:pPr>
        <w:pStyle w:val="Liststycke"/>
        <w:numPr>
          <w:ilvl w:val="1"/>
          <w:numId w:val="11"/>
        </w:numPr>
        <w:spacing w:before="0" w:after="240" w:line="240" w:lineRule="auto"/>
        <w:ind w:left="1124" w:hanging="562"/>
        <w:contextualSpacing w:val="0"/>
        <w:rPr>
          <w:sz w:val="22"/>
          <w:lang w:val="en-US"/>
        </w:rPr>
      </w:pPr>
      <w:r w:rsidRPr="007654D9">
        <w:rPr>
          <w:sz w:val="22"/>
          <w:lang w:val="en-US"/>
        </w:rPr>
        <w:t xml:space="preserve">The parties have an obligation </w:t>
      </w:r>
      <w:proofErr w:type="gramStart"/>
      <w:r w:rsidRPr="007654D9">
        <w:rPr>
          <w:sz w:val="22"/>
          <w:lang w:val="en-US"/>
        </w:rPr>
        <w:t>on the basis of</w:t>
      </w:r>
      <w:proofErr w:type="gramEnd"/>
      <w:r w:rsidRPr="007654D9">
        <w:rPr>
          <w:sz w:val="22"/>
          <w:lang w:val="en-US"/>
        </w:rPr>
        <w:t xml:space="preserve"> this Agreement to limit damage to another Party. Considering this, the Party shall without delay inform the other Parties immediately of such dam&lt;&lt;&lt;age or the risk of such damage.</w:t>
      </w:r>
    </w:p>
    <w:p w14:paraId="544E979F" w14:textId="77777777" w:rsidR="00923112" w:rsidRPr="007654D9" w:rsidRDefault="00923112" w:rsidP="00AE5572">
      <w:pPr>
        <w:pStyle w:val="Liststycke"/>
        <w:numPr>
          <w:ilvl w:val="1"/>
          <w:numId w:val="11"/>
        </w:numPr>
        <w:spacing w:before="0" w:after="240" w:line="240" w:lineRule="auto"/>
        <w:ind w:left="1124" w:hanging="562"/>
        <w:contextualSpacing w:val="0"/>
        <w:rPr>
          <w:sz w:val="22"/>
          <w:lang w:val="en-US"/>
        </w:rPr>
      </w:pPr>
      <w:proofErr w:type="gramStart"/>
      <w:r w:rsidRPr="007654D9">
        <w:rPr>
          <w:sz w:val="22"/>
          <w:lang w:val="en-US"/>
        </w:rPr>
        <w:t>In light of</w:t>
      </w:r>
      <w:proofErr w:type="gramEnd"/>
      <w:r w:rsidRPr="007654D9">
        <w:rPr>
          <w:sz w:val="22"/>
          <w:lang w:val="en-US"/>
        </w:rPr>
        <w:t xml:space="preserve"> the Party’s responsibility to demonstrate compliance with the basic principles for the processing of personal data, the Party shall ensure that it has documentation demonstrating accountability and that this Agreement is complied with. For the avoidance of misunderstanding: A party’s inability to demonstrate accountability under Article 5 (2) of the GDPR shall be deemed to be a breach of the Party’s obligation under this Agreement.</w:t>
      </w:r>
    </w:p>
    <w:p w14:paraId="661B8214" w14:textId="77777777" w:rsidR="00923112" w:rsidRPr="00923112" w:rsidRDefault="00923112" w:rsidP="00C778C8">
      <w:pPr>
        <w:spacing w:before="480" w:line="276" w:lineRule="auto"/>
        <w:ind w:left="1134"/>
        <w:rPr>
          <w:i/>
          <w:iCs/>
          <w:sz w:val="22"/>
          <w:highlight w:val="yellow"/>
          <w:lang w:val="en-US"/>
        </w:rPr>
      </w:pPr>
      <w:r w:rsidRPr="00923112">
        <w:rPr>
          <w:i/>
          <w:iCs/>
          <w:sz w:val="22"/>
          <w:highlight w:val="yellow"/>
          <w:lang w:val="en-US"/>
        </w:rPr>
        <w:t>Model clause for liability between the Parties</w:t>
      </w:r>
    </w:p>
    <w:p w14:paraId="485A38DE" w14:textId="77777777" w:rsidR="00923112" w:rsidRPr="00215598" w:rsidRDefault="00923112" w:rsidP="00AE5572">
      <w:pPr>
        <w:pStyle w:val="Liststycke"/>
        <w:numPr>
          <w:ilvl w:val="1"/>
          <w:numId w:val="11"/>
        </w:numPr>
        <w:spacing w:before="0" w:after="240" w:line="240" w:lineRule="auto"/>
        <w:ind w:left="1124" w:hanging="562"/>
        <w:contextualSpacing w:val="0"/>
        <w:rPr>
          <w:sz w:val="22"/>
          <w:highlight w:val="yellow"/>
          <w:lang w:val="en-US"/>
        </w:rPr>
      </w:pPr>
      <w:r w:rsidRPr="00215598">
        <w:rPr>
          <w:sz w:val="22"/>
          <w:highlight w:val="yellow"/>
          <w:lang w:val="en-US"/>
        </w:rPr>
        <w:t xml:space="preserve">If a Party, </w:t>
      </w:r>
      <w:proofErr w:type="gramStart"/>
      <w:r w:rsidRPr="00215598">
        <w:rPr>
          <w:sz w:val="22"/>
          <w:highlight w:val="yellow"/>
          <w:lang w:val="en-US"/>
        </w:rPr>
        <w:t>on the basis of</w:t>
      </w:r>
      <w:proofErr w:type="gramEnd"/>
      <w:r w:rsidRPr="00215598">
        <w:rPr>
          <w:sz w:val="22"/>
          <w:highlight w:val="yellow"/>
          <w:lang w:val="en-US"/>
        </w:rPr>
        <w:t xml:space="preserve"> non-compliance with this Agreement, has caused damage to another Party, the party causing the damage shall indemnify the injured Party.</w:t>
      </w:r>
    </w:p>
    <w:p w14:paraId="076DF4F9" w14:textId="4293452E" w:rsidR="00923112" w:rsidRPr="00215598" w:rsidRDefault="00923112" w:rsidP="00AE5572">
      <w:pPr>
        <w:pStyle w:val="Liststycke"/>
        <w:numPr>
          <w:ilvl w:val="1"/>
          <w:numId w:val="11"/>
        </w:numPr>
        <w:spacing w:before="0" w:after="240" w:line="240" w:lineRule="auto"/>
        <w:ind w:left="1124" w:hanging="562"/>
        <w:contextualSpacing w:val="0"/>
        <w:rPr>
          <w:sz w:val="22"/>
          <w:highlight w:val="yellow"/>
          <w:lang w:val="en-US"/>
        </w:rPr>
      </w:pPr>
      <w:r w:rsidRPr="00215598">
        <w:rPr>
          <w:sz w:val="22"/>
          <w:highlight w:val="yellow"/>
          <w:lang w:val="en-US"/>
        </w:rPr>
        <w:t xml:space="preserve">If a Party, </w:t>
      </w:r>
      <w:proofErr w:type="gramStart"/>
      <w:r w:rsidRPr="00215598">
        <w:rPr>
          <w:sz w:val="22"/>
          <w:highlight w:val="yellow"/>
          <w:lang w:val="en-US"/>
        </w:rPr>
        <w:t>on the basis of</w:t>
      </w:r>
      <w:proofErr w:type="gramEnd"/>
      <w:r w:rsidRPr="00215598">
        <w:rPr>
          <w:sz w:val="22"/>
          <w:highlight w:val="yellow"/>
          <w:lang w:val="en-US"/>
        </w:rPr>
        <w:t xml:space="preserve"> negligence or fault, caused another Party damage, the causing party shall indemnify the injured party.</w:t>
      </w:r>
    </w:p>
    <w:p w14:paraId="205B9953" w14:textId="6A132A93" w:rsidR="00923112" w:rsidRPr="00243595" w:rsidRDefault="00923112" w:rsidP="008A08DC">
      <w:pPr>
        <w:pStyle w:val="Rubrik2"/>
        <w:spacing w:before="400"/>
        <w:ind w:left="360" w:hanging="360"/>
        <w:rPr>
          <w:lang w:val="en-US"/>
        </w:rPr>
      </w:pPr>
      <w:bookmarkStart w:id="47" w:name="_Tystnadsplikt"/>
      <w:bookmarkStart w:id="48" w:name="_Toc103014331"/>
      <w:bookmarkStart w:id="49" w:name="_Toc105656743"/>
      <w:bookmarkStart w:id="50" w:name="_Toc112701959"/>
      <w:bookmarkEnd w:id="47"/>
      <w:r w:rsidRPr="00243595">
        <w:rPr>
          <w:lang w:val="en-US"/>
        </w:rPr>
        <w:t>Confidentiality</w:t>
      </w:r>
      <w:bookmarkEnd w:id="48"/>
      <w:bookmarkEnd w:id="49"/>
      <w:bookmarkEnd w:id="50"/>
    </w:p>
    <w:p w14:paraId="7515C6B6" w14:textId="0582B410" w:rsidR="00923112" w:rsidRPr="00663AED" w:rsidRDefault="00923112" w:rsidP="008A08DC">
      <w:pPr>
        <w:pStyle w:val="Liststycke"/>
        <w:numPr>
          <w:ilvl w:val="1"/>
          <w:numId w:val="11"/>
        </w:numPr>
        <w:spacing w:before="0" w:line="240" w:lineRule="auto"/>
        <w:ind w:left="1124" w:hanging="562"/>
        <w:contextualSpacing w:val="0"/>
        <w:rPr>
          <w:sz w:val="22"/>
          <w:lang w:val="en-US"/>
        </w:rPr>
      </w:pPr>
      <w:r w:rsidRPr="00663AED">
        <w:rPr>
          <w:sz w:val="22"/>
          <w:lang w:val="en-US"/>
        </w:rPr>
        <w:t>According to the GDPR, the data subject has the right to take part of the essential content of this Agreement. The Parties agree that information in Sections 6, 14, and 16, as well as Appendix 4 to this Agreement shall be subject to the Parties mutual duty of confidentiality and may not be disclosed to a data subject or a third party without the consent of all Parties.</w:t>
      </w:r>
    </w:p>
    <w:p w14:paraId="5F7531D8" w14:textId="77777777" w:rsidR="00923112" w:rsidRPr="00792CE7" w:rsidRDefault="00923112" w:rsidP="00AE5572">
      <w:pPr>
        <w:pStyle w:val="Liststycke"/>
        <w:numPr>
          <w:ilvl w:val="1"/>
          <w:numId w:val="11"/>
        </w:numPr>
        <w:spacing w:before="240" w:line="240" w:lineRule="auto"/>
        <w:ind w:left="1124" w:hanging="562"/>
        <w:contextualSpacing w:val="0"/>
        <w:rPr>
          <w:sz w:val="22"/>
          <w:lang w:val="en-US"/>
        </w:rPr>
      </w:pPr>
      <w:r w:rsidRPr="00792CE7">
        <w:rPr>
          <w:sz w:val="22"/>
          <w:lang w:val="en-US"/>
        </w:rPr>
        <w:t>To avoid misunderstanding, the Party’s duty of confidentiality under this section 15 does not apply in relation to the national data protection supervisory authority, insofar as this duty of confidentiality would prevent a Party from cooperating with the supervisory authority in accordance with the obligation in Data Protection Legislation.</w:t>
      </w:r>
    </w:p>
    <w:p w14:paraId="2E0623E1" w14:textId="77777777" w:rsidR="00923112" w:rsidRPr="00460A43" w:rsidRDefault="00923112" w:rsidP="00AE5572">
      <w:pPr>
        <w:pStyle w:val="Liststycke"/>
        <w:numPr>
          <w:ilvl w:val="1"/>
          <w:numId w:val="11"/>
        </w:numPr>
        <w:spacing w:before="240" w:line="240" w:lineRule="auto"/>
        <w:ind w:left="1124" w:hanging="562"/>
        <w:contextualSpacing w:val="0"/>
        <w:rPr>
          <w:sz w:val="22"/>
          <w:lang w:val="en-US"/>
        </w:rPr>
      </w:pPr>
      <w:r w:rsidRPr="00460A43">
        <w:rPr>
          <w:sz w:val="22"/>
          <w:lang w:val="en-US"/>
        </w:rPr>
        <w:lastRenderedPageBreak/>
        <w:t>The parties agree that if a Party is a public Swedish authority, this Party is covered by the principle of public access to information, which affects the scope for confidentiality according to this section to apply only to confidentiality that follows from the Swedish Public Access and Secrecy Act (2009: 400).</w:t>
      </w:r>
    </w:p>
    <w:p w14:paraId="3C9B449B" w14:textId="52D953E3" w:rsidR="00923112" w:rsidRPr="00243595" w:rsidRDefault="00923112" w:rsidP="008A08DC">
      <w:pPr>
        <w:pStyle w:val="Rubrik2"/>
        <w:spacing w:before="500"/>
        <w:ind w:left="360" w:hanging="360"/>
        <w:rPr>
          <w:lang w:val="en-US"/>
        </w:rPr>
      </w:pPr>
      <w:bookmarkStart w:id="51" w:name="_Toc103014332"/>
      <w:bookmarkStart w:id="52" w:name="_Toc105656744"/>
      <w:bookmarkStart w:id="53" w:name="_Toc112701960"/>
      <w:r w:rsidRPr="00243595">
        <w:rPr>
          <w:lang w:val="en-US"/>
        </w:rPr>
        <w:t>Arbitration, applicable law</w:t>
      </w:r>
      <w:bookmarkEnd w:id="51"/>
      <w:bookmarkEnd w:id="52"/>
      <w:bookmarkEnd w:id="53"/>
    </w:p>
    <w:p w14:paraId="2BA3CE4B" w14:textId="5E8119EA"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 xml:space="preserve">This Agreement supersedes all prior agreements, whether oral or written, between the Parties, regarding the subject matter of this agreement. </w:t>
      </w:r>
    </w:p>
    <w:p w14:paraId="462DE0DF" w14:textId="77777777"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 xml:space="preserve">The Parties agree that the Swedish law (1980:1102) regarding trading companies and simple companies is not applicable in this agreement. </w:t>
      </w:r>
    </w:p>
    <w:p w14:paraId="6918ABBE" w14:textId="77777777"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 xml:space="preserve">This Agreement shall be interpreted in accordance with </w:t>
      </w:r>
      <w:r w:rsidRPr="008E5902">
        <w:rPr>
          <w:sz w:val="22"/>
          <w:highlight w:val="yellow"/>
          <w:lang w:val="en-US"/>
        </w:rPr>
        <w:t>[Swedish law]</w:t>
      </w:r>
      <w:r w:rsidRPr="008E5902">
        <w:rPr>
          <w:sz w:val="22"/>
          <w:lang w:val="en-US"/>
        </w:rPr>
        <w:t>.</w:t>
      </w:r>
    </w:p>
    <w:p w14:paraId="728184F7" w14:textId="77777777" w:rsidR="00923112" w:rsidRPr="00F202D9" w:rsidRDefault="00923112" w:rsidP="00BB4C41">
      <w:pPr>
        <w:spacing w:before="240" w:line="240" w:lineRule="auto"/>
        <w:ind w:left="1138"/>
        <w:rPr>
          <w:sz w:val="22"/>
          <w:lang w:val="en-US"/>
        </w:rPr>
      </w:pPr>
      <w:r w:rsidRPr="00F202D9">
        <w:rPr>
          <w:sz w:val="22"/>
          <w:lang w:val="en-US"/>
        </w:rPr>
        <w:t>To avoid misunderstanding, this does not regulate what Data Protection Legislation should be applicable.</w:t>
      </w:r>
    </w:p>
    <w:p w14:paraId="6DD6FBFA" w14:textId="77777777"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 xml:space="preserve">Disputes arising in connection with this agreement shall be finally settled through arbitration proceedings administered by the Stockholm Chamber of Commerce’s Arbitration Institute (SCC). Rules for Simplified Arbitration shall be applied unless the SCC, </w:t>
      </w:r>
      <w:proofErr w:type="gramStart"/>
      <w:r w:rsidRPr="008E5902">
        <w:rPr>
          <w:sz w:val="22"/>
          <w:lang w:val="en-US"/>
        </w:rPr>
        <w:t>taking into account</w:t>
      </w:r>
      <w:proofErr w:type="gramEnd"/>
      <w:r w:rsidRPr="008E5902">
        <w:rPr>
          <w:sz w:val="22"/>
          <w:lang w:val="en-US"/>
        </w:rPr>
        <w:t xml:space="preserve"> the severity of the case, the value of the subject matter of the dispute and other circumstances, decides that Arbitration Rules shall be applied. In the latter case, the SCC shall also decide whether the arbitral tribunal shall consist of one (1) or three (3) arbitrators.</w:t>
      </w:r>
    </w:p>
    <w:p w14:paraId="6B8D9696" w14:textId="77777777"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The seat of the arbitration shall be [</w:t>
      </w:r>
      <w:r w:rsidRPr="008E5902">
        <w:rPr>
          <w:sz w:val="22"/>
          <w:highlight w:val="yellow"/>
          <w:lang w:val="en-US"/>
        </w:rPr>
        <w:t>Malmö, Sweden</w:t>
      </w:r>
      <w:r w:rsidRPr="008E5902">
        <w:rPr>
          <w:sz w:val="22"/>
          <w:lang w:val="en-US"/>
        </w:rPr>
        <w:t>].</w:t>
      </w:r>
    </w:p>
    <w:p w14:paraId="31D6E092" w14:textId="77777777"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The language of the arbitration shall be English.</w:t>
      </w:r>
    </w:p>
    <w:p w14:paraId="1B72000E" w14:textId="77777777" w:rsidR="00923112" w:rsidRPr="00E23112" w:rsidRDefault="00923112" w:rsidP="00AE5572">
      <w:pPr>
        <w:pStyle w:val="Liststycke"/>
        <w:numPr>
          <w:ilvl w:val="1"/>
          <w:numId w:val="11"/>
        </w:numPr>
        <w:spacing w:before="240" w:line="240" w:lineRule="auto"/>
        <w:ind w:left="1124" w:hanging="562"/>
        <w:contextualSpacing w:val="0"/>
        <w:rPr>
          <w:sz w:val="22"/>
          <w:lang w:val="en-US"/>
        </w:rPr>
      </w:pPr>
      <w:r w:rsidRPr="00E23112">
        <w:rPr>
          <w:sz w:val="22"/>
          <w:lang w:val="en-US"/>
        </w:rPr>
        <w:t>This agreement has been electronically signed by each party.</w:t>
      </w:r>
    </w:p>
    <w:p w14:paraId="7F78E9B5" w14:textId="77777777" w:rsidR="00923112" w:rsidRPr="00923112" w:rsidRDefault="00923112" w:rsidP="00923112">
      <w:pPr>
        <w:spacing w:before="0" w:after="0" w:line="276" w:lineRule="auto"/>
        <w:rPr>
          <w:sz w:val="22"/>
          <w:lang w:val="en-US"/>
        </w:rPr>
      </w:pPr>
      <w:r w:rsidRPr="00923112">
        <w:rPr>
          <w:sz w:val="22"/>
          <w:lang w:val="en-US"/>
        </w:rPr>
        <w:br w:type="page"/>
      </w:r>
    </w:p>
    <w:p w14:paraId="5CAAAFAD" w14:textId="77777777" w:rsidR="00923112" w:rsidRPr="00243595" w:rsidRDefault="00923112" w:rsidP="007B6DC8">
      <w:pPr>
        <w:pStyle w:val="Rubrik2"/>
        <w:spacing w:after="600"/>
        <w:ind w:left="360" w:hanging="360"/>
        <w:rPr>
          <w:lang w:val="en-US"/>
        </w:rPr>
      </w:pPr>
      <w:bookmarkStart w:id="54" w:name="_Toc103014333"/>
      <w:bookmarkStart w:id="55" w:name="_Toc105656745"/>
      <w:bookmarkStart w:id="56" w:name="_Toc112701961"/>
      <w:r w:rsidRPr="00243595">
        <w:rPr>
          <w:lang w:val="en-US"/>
        </w:rPr>
        <w:lastRenderedPageBreak/>
        <w:t>Signatures</w:t>
      </w:r>
      <w:bookmarkEnd w:id="54"/>
      <w:bookmarkEnd w:id="55"/>
      <w:bookmarkEnd w:id="56"/>
    </w:p>
    <w:p w14:paraId="393E6B7D" w14:textId="77777777" w:rsidR="00EF086C" w:rsidRDefault="00EF086C" w:rsidP="0025734B">
      <w:pPr>
        <w:pStyle w:val="Rubrik3"/>
        <w:rPr>
          <w:rStyle w:val="Rubrik3Char"/>
          <w:b/>
        </w:rPr>
        <w:sectPr w:rsidR="00EF086C" w:rsidSect="006F49D7">
          <w:headerReference w:type="default" r:id="rId23"/>
          <w:footerReference w:type="first" r:id="rId24"/>
          <w:pgSz w:w="11906" w:h="16838"/>
          <w:pgMar w:top="1417" w:right="1417" w:bottom="1417" w:left="1417" w:header="709" w:footer="567" w:gutter="0"/>
          <w:cols w:space="708"/>
          <w:titlePg/>
          <w:docGrid w:linePitch="360"/>
        </w:sectPr>
      </w:pPr>
    </w:p>
    <w:p w14:paraId="1102792A" w14:textId="0ED5C049" w:rsidR="00923112" w:rsidRPr="00936DF2" w:rsidRDefault="00923112" w:rsidP="0025734B">
      <w:pPr>
        <w:pStyle w:val="Rubrik3"/>
        <w:numPr>
          <w:ilvl w:val="0"/>
          <w:numId w:val="0"/>
        </w:numPr>
        <w:rPr>
          <w:rStyle w:val="Rubrik3Char"/>
          <w:b/>
        </w:rPr>
      </w:pPr>
      <w:r w:rsidRPr="00936DF2">
        <w:rPr>
          <w:rStyle w:val="Rubrik3Char"/>
          <w:b/>
        </w:rPr>
        <w:t>[</w:t>
      </w:r>
      <w:r w:rsidRPr="00936DF2">
        <w:rPr>
          <w:rStyle w:val="Rubrik3Char"/>
          <w:b/>
          <w:highlight w:val="yellow"/>
        </w:rPr>
        <w:t>Party A</w:t>
      </w:r>
      <w:r w:rsidRPr="00936DF2">
        <w:rPr>
          <w:rStyle w:val="Rubrik3Char"/>
          <w:b/>
        </w:rPr>
        <w:t>]</w:t>
      </w:r>
      <w:r w:rsidR="00936DF2" w:rsidRPr="00936DF2">
        <w:rPr>
          <w:rStyle w:val="Rubrik3Char"/>
          <w:b/>
        </w:rPr>
        <w:t xml:space="preserve"> </w:t>
      </w:r>
    </w:p>
    <w:p w14:paraId="36FB1120" w14:textId="77F424B9" w:rsidR="00923112" w:rsidRPr="00923112" w:rsidRDefault="00923112" w:rsidP="00F4532F">
      <w:pPr>
        <w:tabs>
          <w:tab w:val="left" w:pos="5220"/>
        </w:tabs>
        <w:spacing w:before="680" w:line="276" w:lineRule="auto"/>
        <w:rPr>
          <w:sz w:val="22"/>
          <w:lang w:val="en-US"/>
        </w:rPr>
      </w:pPr>
      <w:r w:rsidRPr="00923112">
        <w:rPr>
          <w:sz w:val="22"/>
          <w:lang w:val="en-US"/>
        </w:rPr>
        <w:t>Signature:</w:t>
      </w:r>
      <w:r w:rsidR="00936DF2" w:rsidRPr="00923112">
        <w:rPr>
          <w:sz w:val="22"/>
          <w:lang w:val="en-US"/>
        </w:rPr>
        <w:t xml:space="preserve"> </w:t>
      </w:r>
    </w:p>
    <w:p w14:paraId="13EADA80" w14:textId="5738C26F" w:rsidR="00923112" w:rsidRPr="00923112" w:rsidRDefault="00923112" w:rsidP="00CA1CE0">
      <w:pPr>
        <w:tabs>
          <w:tab w:val="left" w:pos="5220"/>
        </w:tabs>
        <w:spacing w:before="1200" w:line="276" w:lineRule="auto"/>
        <w:rPr>
          <w:sz w:val="22"/>
          <w:lang w:val="en-US"/>
        </w:rPr>
      </w:pPr>
      <w:r w:rsidRPr="00923112">
        <w:rPr>
          <w:sz w:val="22"/>
          <w:lang w:val="en-US"/>
        </w:rPr>
        <w:t>______________________</w:t>
      </w:r>
    </w:p>
    <w:p w14:paraId="5E3F0716" w14:textId="6437F700" w:rsidR="00923112" w:rsidRPr="00923112" w:rsidRDefault="00923112" w:rsidP="005B2347">
      <w:pPr>
        <w:tabs>
          <w:tab w:val="left" w:pos="5220"/>
          <w:tab w:val="left" w:pos="5310"/>
        </w:tabs>
        <w:spacing w:before="980" w:line="276" w:lineRule="auto"/>
        <w:rPr>
          <w:sz w:val="22"/>
          <w:lang w:val="en-US"/>
        </w:rPr>
      </w:pPr>
      <w:r w:rsidRPr="00923112">
        <w:rPr>
          <w:sz w:val="22"/>
          <w:lang w:val="en-US"/>
        </w:rPr>
        <w:t>Name:</w:t>
      </w:r>
    </w:p>
    <w:p w14:paraId="08E1E2CA" w14:textId="1141EF5C" w:rsidR="00923112" w:rsidRPr="00923112" w:rsidRDefault="00923112" w:rsidP="002902F2">
      <w:pPr>
        <w:tabs>
          <w:tab w:val="left" w:pos="5220"/>
        </w:tabs>
        <w:spacing w:before="1160" w:line="276" w:lineRule="auto"/>
        <w:rPr>
          <w:sz w:val="22"/>
          <w:lang w:val="en-US"/>
        </w:rPr>
      </w:pPr>
      <w:r w:rsidRPr="00923112">
        <w:rPr>
          <w:sz w:val="22"/>
          <w:lang w:val="en-US"/>
        </w:rPr>
        <w:t>___________________________</w:t>
      </w:r>
    </w:p>
    <w:p w14:paraId="343BE5B3" w14:textId="79626548" w:rsidR="00923112" w:rsidRDefault="00923112" w:rsidP="00B4266C">
      <w:pPr>
        <w:tabs>
          <w:tab w:val="left" w:pos="5220"/>
        </w:tabs>
        <w:spacing w:before="1000" w:line="276" w:lineRule="auto"/>
        <w:rPr>
          <w:sz w:val="22"/>
          <w:lang w:val="en-US"/>
        </w:rPr>
      </w:pPr>
      <w:r w:rsidRPr="00923112">
        <w:rPr>
          <w:sz w:val="22"/>
          <w:lang w:val="en-US"/>
        </w:rPr>
        <w:t xml:space="preserve">Place, </w:t>
      </w:r>
      <w:proofErr w:type="gramStart"/>
      <w:r w:rsidRPr="00923112">
        <w:rPr>
          <w:sz w:val="22"/>
          <w:lang w:val="en-US"/>
        </w:rPr>
        <w:t>date</w:t>
      </w:r>
      <w:proofErr w:type="gramEnd"/>
      <w:r w:rsidRPr="00923112">
        <w:rPr>
          <w:sz w:val="22"/>
          <w:lang w:val="en-US"/>
        </w:rPr>
        <w:t xml:space="preserve"> and year</w:t>
      </w:r>
    </w:p>
    <w:p w14:paraId="24A09576" w14:textId="166681EE" w:rsidR="00936DF2" w:rsidRDefault="00936DF2" w:rsidP="008A08DC">
      <w:pPr>
        <w:tabs>
          <w:tab w:val="left" w:pos="5220"/>
        </w:tabs>
        <w:spacing w:before="1180" w:line="276" w:lineRule="auto"/>
        <w:rPr>
          <w:sz w:val="22"/>
          <w:lang w:val="en-US"/>
        </w:rPr>
      </w:pPr>
      <w:r w:rsidRPr="00923112">
        <w:rPr>
          <w:sz w:val="22"/>
          <w:lang w:val="en-US"/>
        </w:rPr>
        <w:t>__________________________</w:t>
      </w:r>
    </w:p>
    <w:p w14:paraId="4C3063D9" w14:textId="76DF42B8" w:rsidR="00923112" w:rsidRPr="00936DF2" w:rsidRDefault="00EF086C" w:rsidP="0025734B">
      <w:pPr>
        <w:pStyle w:val="Rubrik3"/>
        <w:numPr>
          <w:ilvl w:val="0"/>
          <w:numId w:val="0"/>
        </w:numPr>
        <w:rPr>
          <w:rStyle w:val="Rubrik3Char"/>
          <w:b/>
        </w:rPr>
      </w:pPr>
      <w:r>
        <w:br w:type="column"/>
      </w:r>
      <w:r w:rsidR="00936DF2" w:rsidRPr="00936DF2">
        <w:rPr>
          <w:rStyle w:val="Rubrik3Char"/>
          <w:b/>
        </w:rPr>
        <w:t>[</w:t>
      </w:r>
      <w:r w:rsidR="00936DF2" w:rsidRPr="00936DF2">
        <w:rPr>
          <w:rStyle w:val="Rubrik3Char"/>
          <w:b/>
          <w:highlight w:val="yellow"/>
        </w:rPr>
        <w:t>Party B</w:t>
      </w:r>
      <w:r w:rsidR="00936DF2" w:rsidRPr="00936DF2">
        <w:rPr>
          <w:rStyle w:val="Rubrik3Char"/>
          <w:b/>
        </w:rPr>
        <w:t>]</w:t>
      </w:r>
    </w:p>
    <w:p w14:paraId="4C79F423" w14:textId="3787FBA2" w:rsidR="00936DF2" w:rsidRDefault="00936DF2" w:rsidP="008A08DC">
      <w:pPr>
        <w:tabs>
          <w:tab w:val="left" w:pos="5220"/>
        </w:tabs>
        <w:spacing w:before="680" w:line="276" w:lineRule="auto"/>
        <w:rPr>
          <w:sz w:val="22"/>
          <w:lang w:val="en-US"/>
        </w:rPr>
      </w:pPr>
      <w:r w:rsidRPr="00923112">
        <w:rPr>
          <w:sz w:val="22"/>
          <w:lang w:val="en-US"/>
        </w:rPr>
        <w:t>Signature:</w:t>
      </w:r>
    </w:p>
    <w:p w14:paraId="3DBC07DF" w14:textId="77777777" w:rsidR="00936DF2" w:rsidRPr="00923112" w:rsidRDefault="00936DF2" w:rsidP="00936DF2">
      <w:pPr>
        <w:tabs>
          <w:tab w:val="left" w:pos="5220"/>
        </w:tabs>
        <w:spacing w:before="1200" w:line="276" w:lineRule="auto"/>
        <w:rPr>
          <w:sz w:val="22"/>
          <w:lang w:val="en-US"/>
        </w:rPr>
      </w:pPr>
      <w:r w:rsidRPr="00923112">
        <w:rPr>
          <w:sz w:val="22"/>
          <w:lang w:val="en-US"/>
        </w:rPr>
        <w:t>______________________</w:t>
      </w:r>
    </w:p>
    <w:p w14:paraId="520BB9A1" w14:textId="77777777" w:rsidR="00936DF2" w:rsidRPr="00923112" w:rsidRDefault="00936DF2" w:rsidP="008A08DC">
      <w:pPr>
        <w:tabs>
          <w:tab w:val="left" w:pos="5220"/>
          <w:tab w:val="left" w:pos="5310"/>
        </w:tabs>
        <w:spacing w:before="980" w:line="276" w:lineRule="auto"/>
        <w:rPr>
          <w:sz w:val="22"/>
          <w:lang w:val="en-US"/>
        </w:rPr>
      </w:pPr>
      <w:r w:rsidRPr="00923112">
        <w:rPr>
          <w:sz w:val="22"/>
          <w:lang w:val="en-US"/>
        </w:rPr>
        <w:t>Name:</w:t>
      </w:r>
    </w:p>
    <w:p w14:paraId="29886567" w14:textId="77777777" w:rsidR="00936DF2" w:rsidRPr="00923112" w:rsidRDefault="00936DF2" w:rsidP="00936DF2">
      <w:pPr>
        <w:tabs>
          <w:tab w:val="left" w:pos="5220"/>
        </w:tabs>
        <w:spacing w:before="1160" w:line="276" w:lineRule="auto"/>
        <w:rPr>
          <w:sz w:val="22"/>
          <w:lang w:val="en-US"/>
        </w:rPr>
      </w:pPr>
      <w:r w:rsidRPr="00923112">
        <w:rPr>
          <w:sz w:val="22"/>
          <w:lang w:val="en-US"/>
        </w:rPr>
        <w:t>__________________________</w:t>
      </w:r>
    </w:p>
    <w:p w14:paraId="4ED4865F" w14:textId="77777777" w:rsidR="00936DF2" w:rsidRDefault="00936DF2" w:rsidP="008A08DC">
      <w:pPr>
        <w:tabs>
          <w:tab w:val="left" w:pos="5220"/>
        </w:tabs>
        <w:spacing w:before="1000" w:line="276" w:lineRule="auto"/>
        <w:rPr>
          <w:sz w:val="22"/>
          <w:lang w:val="en-US"/>
        </w:rPr>
      </w:pPr>
      <w:r w:rsidRPr="00923112">
        <w:rPr>
          <w:sz w:val="22"/>
          <w:lang w:val="en-US"/>
        </w:rPr>
        <w:t>Place, date, and year:</w:t>
      </w:r>
    </w:p>
    <w:p w14:paraId="74B3ABC7" w14:textId="77777777" w:rsidR="00EF086C" w:rsidRDefault="00936DF2" w:rsidP="00936DF2">
      <w:pPr>
        <w:tabs>
          <w:tab w:val="left" w:pos="5220"/>
        </w:tabs>
        <w:spacing w:before="1180" w:line="276" w:lineRule="auto"/>
        <w:rPr>
          <w:sz w:val="22"/>
          <w:lang w:val="en-US"/>
        </w:rPr>
        <w:sectPr w:rsidR="00EF086C" w:rsidSect="008A08DC">
          <w:type w:val="continuous"/>
          <w:pgSz w:w="11906" w:h="16838"/>
          <w:pgMar w:top="1417" w:right="1417" w:bottom="1417" w:left="1417" w:header="709" w:footer="567" w:gutter="0"/>
          <w:cols w:num="2" w:space="0" w:equalWidth="0">
            <w:col w:w="5040" w:space="0"/>
            <w:col w:w="4032"/>
          </w:cols>
          <w:titlePg/>
          <w:docGrid w:linePitch="360"/>
        </w:sectPr>
      </w:pPr>
      <w:r w:rsidRPr="00923112">
        <w:rPr>
          <w:sz w:val="22"/>
          <w:lang w:val="en-US"/>
        </w:rPr>
        <w:t>___________________________</w:t>
      </w:r>
    </w:p>
    <w:p w14:paraId="21B5761C" w14:textId="77777777" w:rsidR="00923112" w:rsidRPr="00922DCC" w:rsidRDefault="00923112" w:rsidP="0002161C">
      <w:pPr>
        <w:pStyle w:val="Rubrik2"/>
        <w:numPr>
          <w:ilvl w:val="0"/>
          <w:numId w:val="0"/>
        </w:numPr>
        <w:spacing w:before="200"/>
        <w:rPr>
          <w:rFonts w:asciiTheme="majorHAnsi" w:hAnsiTheme="majorHAnsi" w:cstheme="majorHAnsi"/>
          <w:sz w:val="32"/>
          <w:szCs w:val="32"/>
          <w:lang w:val="en-US"/>
        </w:rPr>
      </w:pPr>
      <w:bookmarkStart w:id="57" w:name="_Bilaga_1_–"/>
      <w:bookmarkStart w:id="58" w:name="_Toc103014334"/>
      <w:bookmarkStart w:id="59" w:name="_Toc105656746"/>
      <w:bookmarkStart w:id="60" w:name="_Toc112701962"/>
      <w:bookmarkEnd w:id="57"/>
      <w:r w:rsidRPr="00922DCC">
        <w:rPr>
          <w:rFonts w:asciiTheme="majorHAnsi" w:hAnsiTheme="majorHAnsi" w:cstheme="majorHAnsi"/>
          <w:sz w:val="32"/>
          <w:szCs w:val="32"/>
          <w:lang w:val="en-US"/>
        </w:rPr>
        <w:lastRenderedPageBreak/>
        <w:t>Appendix 1 – Parties to this Agreement</w:t>
      </w:r>
      <w:bookmarkEnd w:id="58"/>
      <w:bookmarkEnd w:id="59"/>
      <w:bookmarkEnd w:id="60"/>
    </w:p>
    <w:p w14:paraId="4980E55D" w14:textId="65946963" w:rsidR="00923112" w:rsidRDefault="00923112" w:rsidP="00551A5F">
      <w:pPr>
        <w:spacing w:before="0" w:after="240" w:line="276" w:lineRule="auto"/>
        <w:rPr>
          <w:sz w:val="22"/>
          <w:lang w:val="en-US"/>
        </w:rPr>
      </w:pPr>
      <w:r w:rsidRPr="00923112">
        <w:rPr>
          <w:sz w:val="22"/>
          <w:lang w:val="en-US"/>
        </w:rPr>
        <w:t>This Agreement have been entered by the following Parties:</w:t>
      </w:r>
    </w:p>
    <w:p w14:paraId="099BE657" w14:textId="3CE0563F" w:rsidR="002705CE" w:rsidRPr="00923112" w:rsidRDefault="002705CE" w:rsidP="0025734B">
      <w:pPr>
        <w:pStyle w:val="Rubrik3"/>
        <w:numPr>
          <w:ilvl w:val="0"/>
          <w:numId w:val="0"/>
        </w:numPr>
        <w:pBdr>
          <w:top w:val="single" w:sz="4" w:space="1" w:color="auto"/>
          <w:left w:val="single" w:sz="4" w:space="4" w:color="auto"/>
          <w:right w:val="single" w:sz="4" w:space="4" w:color="auto"/>
        </w:pBdr>
        <w:spacing w:after="40"/>
        <w:ind w:left="108" w:right="126"/>
      </w:pPr>
      <w:r w:rsidRPr="00923112">
        <w:t>[</w:t>
      </w:r>
      <w:r w:rsidRPr="00923112">
        <w:rPr>
          <w:highlight w:val="yellow"/>
        </w:rPr>
        <w:t>Part A</w:t>
      </w:r>
      <w:r w:rsidRPr="00923112">
        <w:t>]</w:t>
      </w:r>
    </w:p>
    <w:tbl>
      <w:tblPr>
        <w:tblStyle w:val="Tabellrutnt"/>
        <w:tblW w:w="0" w:type="auto"/>
        <w:tblCellMar>
          <w:top w:w="28" w:type="dxa"/>
          <w:bottom w:w="28" w:type="dxa"/>
        </w:tblCellMar>
        <w:tblLook w:val="04A0" w:firstRow="1" w:lastRow="0" w:firstColumn="1" w:lastColumn="0" w:noHBand="0" w:noVBand="1"/>
        <w:tblDescription w:val="A table marked as Part A. The table has two columns. The one to the right is blank and is supposed to be filled out, while the column to the left consists of seven rows and contains information such as: Firm; Organizational number; Seat; Postal address; Main establishment according to article 4.16 GDPR; Representative according to article 27 GDPR, if applicable; The Party ́s role within the framework of the (i) Processing, and the (ii) clinical trial."/>
      </w:tblPr>
      <w:tblGrid>
        <w:gridCol w:w="2689"/>
        <w:gridCol w:w="6367"/>
      </w:tblGrid>
      <w:tr w:rsidR="00923112" w:rsidRPr="00923112" w14:paraId="4C1B0379" w14:textId="77777777" w:rsidTr="00936DF2">
        <w:tc>
          <w:tcPr>
            <w:tcW w:w="2689" w:type="dxa"/>
          </w:tcPr>
          <w:p w14:paraId="3481B92A" w14:textId="77777777" w:rsidR="00923112" w:rsidRPr="00923112" w:rsidRDefault="00923112" w:rsidP="00923112">
            <w:pPr>
              <w:spacing w:before="0" w:line="276" w:lineRule="auto"/>
              <w:rPr>
                <w:sz w:val="22"/>
                <w:lang w:val="en-US"/>
              </w:rPr>
            </w:pPr>
            <w:r w:rsidRPr="00923112">
              <w:rPr>
                <w:sz w:val="22"/>
                <w:lang w:val="en-US"/>
              </w:rPr>
              <w:t>Firm:</w:t>
            </w:r>
          </w:p>
        </w:tc>
        <w:tc>
          <w:tcPr>
            <w:tcW w:w="6367" w:type="dxa"/>
          </w:tcPr>
          <w:p w14:paraId="6FA94723" w14:textId="77777777" w:rsidR="00923112" w:rsidRPr="00923112" w:rsidRDefault="00923112" w:rsidP="00923112">
            <w:pPr>
              <w:spacing w:before="0" w:line="276" w:lineRule="auto"/>
              <w:rPr>
                <w:sz w:val="22"/>
                <w:lang w:val="en-US"/>
              </w:rPr>
            </w:pPr>
          </w:p>
        </w:tc>
      </w:tr>
      <w:tr w:rsidR="00923112" w:rsidRPr="00923112" w14:paraId="75C87DA4" w14:textId="77777777" w:rsidTr="00936DF2">
        <w:tc>
          <w:tcPr>
            <w:tcW w:w="2689" w:type="dxa"/>
          </w:tcPr>
          <w:p w14:paraId="4361193D" w14:textId="77777777" w:rsidR="00923112" w:rsidRPr="00923112" w:rsidRDefault="00923112" w:rsidP="00923112">
            <w:pPr>
              <w:spacing w:before="0" w:line="276" w:lineRule="auto"/>
              <w:rPr>
                <w:sz w:val="22"/>
                <w:lang w:val="en-US"/>
              </w:rPr>
            </w:pPr>
            <w:r w:rsidRPr="00923112">
              <w:rPr>
                <w:sz w:val="22"/>
                <w:lang w:val="en-US"/>
              </w:rPr>
              <w:t>Organizational number:</w:t>
            </w:r>
          </w:p>
        </w:tc>
        <w:tc>
          <w:tcPr>
            <w:tcW w:w="6367" w:type="dxa"/>
          </w:tcPr>
          <w:p w14:paraId="7F1222A8" w14:textId="77777777" w:rsidR="00923112" w:rsidRPr="00923112" w:rsidRDefault="00923112" w:rsidP="00923112">
            <w:pPr>
              <w:spacing w:before="0" w:line="276" w:lineRule="auto"/>
              <w:rPr>
                <w:sz w:val="22"/>
                <w:lang w:val="en-US"/>
              </w:rPr>
            </w:pPr>
          </w:p>
        </w:tc>
      </w:tr>
      <w:tr w:rsidR="00923112" w:rsidRPr="00923112" w14:paraId="5B53EF94" w14:textId="77777777" w:rsidTr="00936DF2">
        <w:tc>
          <w:tcPr>
            <w:tcW w:w="2689" w:type="dxa"/>
          </w:tcPr>
          <w:p w14:paraId="2788EB19" w14:textId="77777777" w:rsidR="00923112" w:rsidRPr="00923112" w:rsidRDefault="00923112" w:rsidP="00923112">
            <w:pPr>
              <w:spacing w:before="0" w:line="276" w:lineRule="auto"/>
              <w:rPr>
                <w:sz w:val="22"/>
                <w:lang w:val="en-US"/>
              </w:rPr>
            </w:pPr>
            <w:r w:rsidRPr="00923112">
              <w:rPr>
                <w:sz w:val="22"/>
                <w:lang w:val="en-US"/>
              </w:rPr>
              <w:t>Seat:</w:t>
            </w:r>
          </w:p>
        </w:tc>
        <w:tc>
          <w:tcPr>
            <w:tcW w:w="6367" w:type="dxa"/>
          </w:tcPr>
          <w:p w14:paraId="4AAFF4EC" w14:textId="77777777" w:rsidR="00923112" w:rsidRPr="00923112" w:rsidRDefault="00923112" w:rsidP="00923112">
            <w:pPr>
              <w:spacing w:before="0" w:line="276" w:lineRule="auto"/>
              <w:rPr>
                <w:sz w:val="22"/>
                <w:lang w:val="en-US"/>
              </w:rPr>
            </w:pPr>
          </w:p>
        </w:tc>
      </w:tr>
      <w:tr w:rsidR="00923112" w:rsidRPr="00923112" w14:paraId="711C039B" w14:textId="77777777" w:rsidTr="00936DF2">
        <w:tc>
          <w:tcPr>
            <w:tcW w:w="2689" w:type="dxa"/>
          </w:tcPr>
          <w:p w14:paraId="3E1AE58B" w14:textId="77777777" w:rsidR="00923112" w:rsidRPr="00923112" w:rsidRDefault="00923112" w:rsidP="00923112">
            <w:pPr>
              <w:spacing w:before="0" w:line="276" w:lineRule="auto"/>
              <w:rPr>
                <w:sz w:val="22"/>
                <w:lang w:val="en-US"/>
              </w:rPr>
            </w:pPr>
            <w:r w:rsidRPr="00923112">
              <w:rPr>
                <w:sz w:val="22"/>
                <w:lang w:val="en-US"/>
              </w:rPr>
              <w:t>Postal address:</w:t>
            </w:r>
          </w:p>
        </w:tc>
        <w:tc>
          <w:tcPr>
            <w:tcW w:w="6367" w:type="dxa"/>
          </w:tcPr>
          <w:p w14:paraId="28E4EB1A" w14:textId="77777777" w:rsidR="00923112" w:rsidRPr="00923112" w:rsidRDefault="00923112" w:rsidP="00923112">
            <w:pPr>
              <w:spacing w:before="0" w:line="276" w:lineRule="auto"/>
              <w:rPr>
                <w:sz w:val="22"/>
                <w:lang w:val="en-US"/>
              </w:rPr>
            </w:pPr>
          </w:p>
        </w:tc>
      </w:tr>
      <w:tr w:rsidR="00923112" w:rsidRPr="00653DE6" w14:paraId="4F741295" w14:textId="77777777" w:rsidTr="00936DF2">
        <w:tc>
          <w:tcPr>
            <w:tcW w:w="2689" w:type="dxa"/>
          </w:tcPr>
          <w:p w14:paraId="5AC3563B" w14:textId="77777777" w:rsidR="00923112" w:rsidRPr="00923112" w:rsidRDefault="00923112" w:rsidP="00923112">
            <w:pPr>
              <w:spacing w:before="0" w:line="276" w:lineRule="auto"/>
              <w:rPr>
                <w:sz w:val="22"/>
                <w:lang w:val="en-US"/>
              </w:rPr>
            </w:pPr>
            <w:r w:rsidRPr="00923112">
              <w:rPr>
                <w:sz w:val="22"/>
                <w:lang w:val="en-US"/>
              </w:rPr>
              <w:t>Main establishment according to article 4.16 GDPR:</w:t>
            </w:r>
          </w:p>
        </w:tc>
        <w:tc>
          <w:tcPr>
            <w:tcW w:w="6367" w:type="dxa"/>
          </w:tcPr>
          <w:p w14:paraId="12CFF844" w14:textId="77777777" w:rsidR="00923112" w:rsidRPr="00923112" w:rsidRDefault="00923112" w:rsidP="00923112">
            <w:pPr>
              <w:spacing w:before="0" w:line="276" w:lineRule="auto"/>
              <w:rPr>
                <w:sz w:val="22"/>
                <w:lang w:val="en-US"/>
              </w:rPr>
            </w:pPr>
          </w:p>
        </w:tc>
      </w:tr>
      <w:tr w:rsidR="00923112" w:rsidRPr="00653DE6" w14:paraId="5C80C520" w14:textId="77777777" w:rsidTr="00936DF2">
        <w:tc>
          <w:tcPr>
            <w:tcW w:w="2689" w:type="dxa"/>
          </w:tcPr>
          <w:p w14:paraId="32F9BBB7" w14:textId="77777777" w:rsidR="00923112" w:rsidRPr="00923112" w:rsidRDefault="00923112" w:rsidP="00923112">
            <w:pPr>
              <w:spacing w:before="0" w:line="276" w:lineRule="auto"/>
              <w:rPr>
                <w:sz w:val="22"/>
                <w:lang w:val="en-US"/>
              </w:rPr>
            </w:pPr>
            <w:r w:rsidRPr="00923112">
              <w:rPr>
                <w:sz w:val="22"/>
                <w:lang w:val="en-US"/>
              </w:rPr>
              <w:t>Representative according to article 27 GDPR, if applicable:</w:t>
            </w:r>
          </w:p>
        </w:tc>
        <w:tc>
          <w:tcPr>
            <w:tcW w:w="6367" w:type="dxa"/>
          </w:tcPr>
          <w:p w14:paraId="31A3304D" w14:textId="77777777" w:rsidR="00923112" w:rsidRPr="00923112" w:rsidRDefault="00923112" w:rsidP="00923112">
            <w:pPr>
              <w:spacing w:before="0" w:line="276" w:lineRule="auto"/>
              <w:rPr>
                <w:sz w:val="22"/>
                <w:lang w:val="en-US"/>
              </w:rPr>
            </w:pPr>
          </w:p>
        </w:tc>
      </w:tr>
      <w:tr w:rsidR="00923112" w:rsidRPr="00653DE6" w14:paraId="182E76EC" w14:textId="77777777" w:rsidTr="00936DF2">
        <w:tc>
          <w:tcPr>
            <w:tcW w:w="2689" w:type="dxa"/>
          </w:tcPr>
          <w:p w14:paraId="53173D95" w14:textId="77777777" w:rsidR="00923112" w:rsidRPr="00923112" w:rsidRDefault="00923112" w:rsidP="00923112">
            <w:pPr>
              <w:spacing w:before="0" w:line="276" w:lineRule="auto"/>
              <w:rPr>
                <w:sz w:val="22"/>
                <w:lang w:val="en-US"/>
              </w:rPr>
            </w:pPr>
            <w:r w:rsidRPr="00923112">
              <w:rPr>
                <w:sz w:val="22"/>
                <w:lang w:val="en-US"/>
              </w:rPr>
              <w:t>The Party´s role within the framework of the (i) Processing, and the (ii) clinical trial.</w:t>
            </w:r>
          </w:p>
        </w:tc>
        <w:tc>
          <w:tcPr>
            <w:tcW w:w="6367" w:type="dxa"/>
          </w:tcPr>
          <w:p w14:paraId="3DA2589E" w14:textId="77777777" w:rsidR="00923112" w:rsidRPr="00923112" w:rsidRDefault="00923112" w:rsidP="00923112">
            <w:pPr>
              <w:spacing w:before="0" w:line="276" w:lineRule="auto"/>
              <w:rPr>
                <w:sz w:val="22"/>
                <w:lang w:val="en-US"/>
              </w:rPr>
            </w:pPr>
          </w:p>
        </w:tc>
      </w:tr>
    </w:tbl>
    <w:p w14:paraId="49950730" w14:textId="21C5852F" w:rsidR="00923112" w:rsidRPr="00923112" w:rsidRDefault="007F0C1C" w:rsidP="007B6DC8">
      <w:pPr>
        <w:pStyle w:val="Rubrik3"/>
        <w:numPr>
          <w:ilvl w:val="0"/>
          <w:numId w:val="0"/>
        </w:numPr>
        <w:pBdr>
          <w:top w:val="single" w:sz="4" w:space="1" w:color="auto"/>
          <w:left w:val="single" w:sz="4" w:space="4" w:color="auto"/>
          <w:right w:val="single" w:sz="4" w:space="4" w:color="auto"/>
        </w:pBdr>
        <w:spacing w:before="500" w:after="40"/>
        <w:ind w:left="115" w:right="115"/>
        <w:rPr>
          <w:szCs w:val="28"/>
        </w:rPr>
      </w:pPr>
      <w:r w:rsidRPr="00923112">
        <w:t>[</w:t>
      </w:r>
      <w:r w:rsidRPr="00923112">
        <w:rPr>
          <w:highlight w:val="yellow"/>
        </w:rPr>
        <w:t>Part B</w:t>
      </w:r>
      <w:r w:rsidRPr="00923112">
        <w:t>]</w:t>
      </w:r>
    </w:p>
    <w:tbl>
      <w:tblPr>
        <w:tblStyle w:val="Tabellrutnt"/>
        <w:tblW w:w="0" w:type="auto"/>
        <w:tblCellMar>
          <w:top w:w="28" w:type="dxa"/>
          <w:bottom w:w="28" w:type="dxa"/>
        </w:tblCellMar>
        <w:tblLook w:val="04A0" w:firstRow="1" w:lastRow="0" w:firstColumn="1" w:lastColumn="0" w:noHBand="0" w:noVBand="1"/>
        <w:tblDescription w:val="A table marked as Part B. The table has two columns. The one to the right is blank and is supposed to be filled out, while the column to the left consists of seven rows and contains information such as: Firm; Organizational number; Seat; Postal address; Main establishment according to article 4.16 GDPR; Representative according to article 27 GDPR, if applicable; The Party ́s role within the framework of the (i) Processing, and the (ii) clinical trial."/>
      </w:tblPr>
      <w:tblGrid>
        <w:gridCol w:w="2689"/>
        <w:gridCol w:w="6367"/>
      </w:tblGrid>
      <w:tr w:rsidR="00923112" w:rsidRPr="00923112" w14:paraId="16B9FDE6" w14:textId="77777777" w:rsidTr="00936DF2">
        <w:tc>
          <w:tcPr>
            <w:tcW w:w="2689" w:type="dxa"/>
          </w:tcPr>
          <w:p w14:paraId="71DE589D" w14:textId="77777777" w:rsidR="00923112" w:rsidRPr="00923112" w:rsidRDefault="00923112" w:rsidP="00923112">
            <w:pPr>
              <w:spacing w:before="0" w:line="276" w:lineRule="auto"/>
              <w:rPr>
                <w:sz w:val="22"/>
                <w:lang w:val="en-US"/>
              </w:rPr>
            </w:pPr>
            <w:r w:rsidRPr="00923112">
              <w:rPr>
                <w:sz w:val="22"/>
                <w:lang w:val="en-US"/>
              </w:rPr>
              <w:t>Firm:</w:t>
            </w:r>
          </w:p>
        </w:tc>
        <w:tc>
          <w:tcPr>
            <w:tcW w:w="6367" w:type="dxa"/>
          </w:tcPr>
          <w:p w14:paraId="79FA69CE" w14:textId="77777777" w:rsidR="00923112" w:rsidRPr="00923112" w:rsidRDefault="00923112" w:rsidP="00923112">
            <w:pPr>
              <w:spacing w:before="0" w:line="276" w:lineRule="auto"/>
              <w:rPr>
                <w:sz w:val="22"/>
                <w:lang w:val="en-US"/>
              </w:rPr>
            </w:pPr>
          </w:p>
        </w:tc>
      </w:tr>
      <w:tr w:rsidR="00923112" w:rsidRPr="00923112" w14:paraId="4709D90F" w14:textId="77777777" w:rsidTr="00936DF2">
        <w:tc>
          <w:tcPr>
            <w:tcW w:w="2689" w:type="dxa"/>
          </w:tcPr>
          <w:p w14:paraId="784E0FFB" w14:textId="77777777" w:rsidR="00923112" w:rsidRPr="00923112" w:rsidRDefault="00923112" w:rsidP="00923112">
            <w:pPr>
              <w:spacing w:before="0" w:line="276" w:lineRule="auto"/>
              <w:rPr>
                <w:sz w:val="22"/>
                <w:lang w:val="en-US"/>
              </w:rPr>
            </w:pPr>
            <w:r w:rsidRPr="00923112">
              <w:rPr>
                <w:sz w:val="22"/>
                <w:lang w:val="en-US"/>
              </w:rPr>
              <w:t>Organizational number:</w:t>
            </w:r>
          </w:p>
        </w:tc>
        <w:tc>
          <w:tcPr>
            <w:tcW w:w="6367" w:type="dxa"/>
          </w:tcPr>
          <w:p w14:paraId="65C80F8F" w14:textId="77777777" w:rsidR="00923112" w:rsidRPr="00923112" w:rsidRDefault="00923112" w:rsidP="00923112">
            <w:pPr>
              <w:spacing w:before="0" w:line="276" w:lineRule="auto"/>
              <w:rPr>
                <w:sz w:val="22"/>
                <w:lang w:val="en-US"/>
              </w:rPr>
            </w:pPr>
          </w:p>
        </w:tc>
      </w:tr>
      <w:tr w:rsidR="00923112" w:rsidRPr="00923112" w14:paraId="74384376" w14:textId="77777777" w:rsidTr="00936DF2">
        <w:tc>
          <w:tcPr>
            <w:tcW w:w="2689" w:type="dxa"/>
          </w:tcPr>
          <w:p w14:paraId="5FD8F4CE" w14:textId="77777777" w:rsidR="00923112" w:rsidRPr="00923112" w:rsidRDefault="00923112" w:rsidP="00923112">
            <w:pPr>
              <w:spacing w:before="0" w:line="276" w:lineRule="auto"/>
              <w:rPr>
                <w:sz w:val="22"/>
                <w:lang w:val="en-US"/>
              </w:rPr>
            </w:pPr>
            <w:r w:rsidRPr="00923112">
              <w:rPr>
                <w:sz w:val="22"/>
                <w:lang w:val="en-US"/>
              </w:rPr>
              <w:t>Seat:</w:t>
            </w:r>
          </w:p>
        </w:tc>
        <w:tc>
          <w:tcPr>
            <w:tcW w:w="6367" w:type="dxa"/>
          </w:tcPr>
          <w:p w14:paraId="2134734E" w14:textId="77777777" w:rsidR="00923112" w:rsidRPr="00923112" w:rsidRDefault="00923112" w:rsidP="00923112">
            <w:pPr>
              <w:spacing w:before="0" w:line="276" w:lineRule="auto"/>
              <w:rPr>
                <w:sz w:val="22"/>
                <w:lang w:val="en-US"/>
              </w:rPr>
            </w:pPr>
          </w:p>
        </w:tc>
      </w:tr>
      <w:tr w:rsidR="00923112" w:rsidRPr="00923112" w14:paraId="433E843E" w14:textId="77777777" w:rsidTr="00936DF2">
        <w:tc>
          <w:tcPr>
            <w:tcW w:w="2689" w:type="dxa"/>
          </w:tcPr>
          <w:p w14:paraId="2D80F4B0" w14:textId="77777777" w:rsidR="00923112" w:rsidRPr="00923112" w:rsidRDefault="00923112" w:rsidP="00923112">
            <w:pPr>
              <w:spacing w:before="0" w:line="276" w:lineRule="auto"/>
              <w:rPr>
                <w:sz w:val="22"/>
                <w:lang w:val="en-US"/>
              </w:rPr>
            </w:pPr>
            <w:r w:rsidRPr="00923112">
              <w:rPr>
                <w:sz w:val="22"/>
                <w:lang w:val="en-US"/>
              </w:rPr>
              <w:t>Postal address:</w:t>
            </w:r>
          </w:p>
        </w:tc>
        <w:tc>
          <w:tcPr>
            <w:tcW w:w="6367" w:type="dxa"/>
          </w:tcPr>
          <w:p w14:paraId="4737D04A" w14:textId="77777777" w:rsidR="00923112" w:rsidRPr="00923112" w:rsidRDefault="00923112" w:rsidP="00923112">
            <w:pPr>
              <w:spacing w:before="0" w:line="276" w:lineRule="auto"/>
              <w:rPr>
                <w:sz w:val="22"/>
                <w:lang w:val="en-US"/>
              </w:rPr>
            </w:pPr>
          </w:p>
        </w:tc>
      </w:tr>
      <w:tr w:rsidR="00923112" w:rsidRPr="00653DE6" w14:paraId="5A7400BE" w14:textId="77777777" w:rsidTr="00936DF2">
        <w:tc>
          <w:tcPr>
            <w:tcW w:w="2689" w:type="dxa"/>
          </w:tcPr>
          <w:p w14:paraId="506424CD" w14:textId="77777777" w:rsidR="00923112" w:rsidRPr="00923112" w:rsidRDefault="00923112" w:rsidP="00923112">
            <w:pPr>
              <w:spacing w:before="0" w:line="276" w:lineRule="auto"/>
              <w:rPr>
                <w:sz w:val="22"/>
                <w:lang w:val="en-US"/>
              </w:rPr>
            </w:pPr>
            <w:r w:rsidRPr="00923112">
              <w:rPr>
                <w:sz w:val="22"/>
                <w:lang w:val="en-US"/>
              </w:rPr>
              <w:t>Main establishment according to article 4.16 GDPR:</w:t>
            </w:r>
          </w:p>
        </w:tc>
        <w:tc>
          <w:tcPr>
            <w:tcW w:w="6367" w:type="dxa"/>
          </w:tcPr>
          <w:p w14:paraId="2CE4A3FE" w14:textId="77777777" w:rsidR="00923112" w:rsidRPr="00923112" w:rsidRDefault="00923112" w:rsidP="00923112">
            <w:pPr>
              <w:spacing w:before="0" w:line="276" w:lineRule="auto"/>
              <w:rPr>
                <w:sz w:val="22"/>
                <w:lang w:val="en-US"/>
              </w:rPr>
            </w:pPr>
          </w:p>
        </w:tc>
      </w:tr>
      <w:tr w:rsidR="00923112" w:rsidRPr="00653DE6" w14:paraId="6A703192" w14:textId="77777777" w:rsidTr="00936DF2">
        <w:tc>
          <w:tcPr>
            <w:tcW w:w="2689" w:type="dxa"/>
          </w:tcPr>
          <w:p w14:paraId="2F4D5F14" w14:textId="70A15410" w:rsidR="00923112" w:rsidRPr="00923112" w:rsidRDefault="00923112" w:rsidP="00923112">
            <w:pPr>
              <w:spacing w:before="0" w:line="276" w:lineRule="auto"/>
              <w:rPr>
                <w:sz w:val="22"/>
                <w:lang w:val="en-US"/>
              </w:rPr>
            </w:pPr>
            <w:r w:rsidRPr="00923112">
              <w:rPr>
                <w:sz w:val="22"/>
                <w:lang w:val="en-US"/>
              </w:rPr>
              <w:t>Representative</w:t>
            </w:r>
            <w:r w:rsidR="0045208F">
              <w:rPr>
                <w:sz w:val="22"/>
                <w:lang w:val="en-US"/>
              </w:rPr>
              <w:t xml:space="preserve"> </w:t>
            </w:r>
            <w:r w:rsidRPr="00923112">
              <w:rPr>
                <w:sz w:val="22"/>
                <w:lang w:val="en-US"/>
              </w:rPr>
              <w:t>according to article 27 GDPR, if applicable:</w:t>
            </w:r>
          </w:p>
        </w:tc>
        <w:tc>
          <w:tcPr>
            <w:tcW w:w="6367" w:type="dxa"/>
          </w:tcPr>
          <w:p w14:paraId="464544E0" w14:textId="77777777" w:rsidR="00923112" w:rsidRPr="00923112" w:rsidRDefault="00923112" w:rsidP="00923112">
            <w:pPr>
              <w:spacing w:before="0" w:line="276" w:lineRule="auto"/>
              <w:rPr>
                <w:sz w:val="22"/>
                <w:lang w:val="en-US"/>
              </w:rPr>
            </w:pPr>
          </w:p>
        </w:tc>
      </w:tr>
      <w:tr w:rsidR="00923112" w:rsidRPr="00653DE6" w14:paraId="791E9180" w14:textId="77777777" w:rsidTr="00936DF2">
        <w:tc>
          <w:tcPr>
            <w:tcW w:w="2689" w:type="dxa"/>
          </w:tcPr>
          <w:p w14:paraId="6D2A92F7" w14:textId="77777777" w:rsidR="00923112" w:rsidRPr="00923112" w:rsidRDefault="00923112" w:rsidP="00923112">
            <w:pPr>
              <w:spacing w:before="0" w:line="276" w:lineRule="auto"/>
              <w:rPr>
                <w:sz w:val="22"/>
                <w:lang w:val="en-US"/>
              </w:rPr>
            </w:pPr>
            <w:r w:rsidRPr="00923112">
              <w:rPr>
                <w:sz w:val="22"/>
                <w:lang w:val="en-US"/>
              </w:rPr>
              <w:t>The Party´s role within the framework of the (i) Processing, and the (ii) clinical trial.</w:t>
            </w:r>
          </w:p>
        </w:tc>
        <w:tc>
          <w:tcPr>
            <w:tcW w:w="6367" w:type="dxa"/>
          </w:tcPr>
          <w:p w14:paraId="15550146" w14:textId="77777777" w:rsidR="00923112" w:rsidRPr="00923112" w:rsidRDefault="00923112" w:rsidP="00923112">
            <w:pPr>
              <w:spacing w:before="0" w:line="276" w:lineRule="auto"/>
              <w:rPr>
                <w:sz w:val="22"/>
                <w:lang w:val="en-US"/>
              </w:rPr>
            </w:pPr>
          </w:p>
        </w:tc>
      </w:tr>
    </w:tbl>
    <w:p w14:paraId="12E21AEF" w14:textId="77777777" w:rsidR="00923112" w:rsidRPr="00243595" w:rsidRDefault="00923112" w:rsidP="00603651">
      <w:pPr>
        <w:pStyle w:val="Rubrik2"/>
        <w:numPr>
          <w:ilvl w:val="0"/>
          <w:numId w:val="0"/>
        </w:numPr>
        <w:spacing w:after="600"/>
        <w:rPr>
          <w:sz w:val="32"/>
          <w:szCs w:val="32"/>
          <w:lang w:val="en-US"/>
        </w:rPr>
      </w:pPr>
      <w:bookmarkStart w:id="61" w:name="_Bilaga_2_–"/>
      <w:bookmarkEnd w:id="61"/>
      <w:r w:rsidRPr="00922DCC">
        <w:rPr>
          <w:sz w:val="32"/>
          <w:szCs w:val="32"/>
          <w:lang w:val="en-US"/>
        </w:rPr>
        <w:br w:type="page"/>
      </w:r>
      <w:bookmarkStart w:id="62" w:name="_Toc103014335"/>
      <w:bookmarkStart w:id="63" w:name="_Toc105656747"/>
      <w:bookmarkStart w:id="64" w:name="_Toc112701963"/>
      <w:r w:rsidRPr="00243595">
        <w:rPr>
          <w:sz w:val="32"/>
          <w:szCs w:val="32"/>
          <w:lang w:val="en-US"/>
        </w:rPr>
        <w:lastRenderedPageBreak/>
        <w:t>Appendix 2 – Documentation of the Processing</w:t>
      </w:r>
      <w:bookmarkEnd w:id="62"/>
      <w:bookmarkEnd w:id="63"/>
      <w:bookmarkEnd w:id="64"/>
    </w:p>
    <w:tbl>
      <w:tblPr>
        <w:tblStyle w:val="Tabellrutnt"/>
        <w:tblW w:w="0" w:type="auto"/>
        <w:tblLook w:val="04A0" w:firstRow="1" w:lastRow="0" w:firstColumn="1" w:lastColumn="0" w:noHBand="0" w:noVBand="1"/>
        <w:tblDescription w:val="A table with two columns marked as Appendix 2 – Documentation of the Processing. The table provides some detailed info in both columns such as: The purpose or purposes of the joint processing: - The specific reasons for why the personal data is processed - The purpose of the personal data processing is [for instance to conduct research in accordance with the project’s ethical review decision.]. Another example of the information provided would be: Types of data subjects: - The categories of data subjects which are included - The categories of data subjects which are included should be stated here; Research subjects; Next of kin/relative."/>
      </w:tblPr>
      <w:tblGrid>
        <w:gridCol w:w="4531"/>
        <w:gridCol w:w="4525"/>
      </w:tblGrid>
      <w:tr w:rsidR="00923112" w:rsidRPr="00653DE6" w14:paraId="74990FB2" w14:textId="77777777" w:rsidTr="00FA5783">
        <w:trPr>
          <w:cantSplit/>
        </w:trPr>
        <w:tc>
          <w:tcPr>
            <w:tcW w:w="4531" w:type="dxa"/>
          </w:tcPr>
          <w:p w14:paraId="5913B699" w14:textId="77777777" w:rsidR="00923112" w:rsidRPr="00AA3A50" w:rsidRDefault="00923112" w:rsidP="00AE5572">
            <w:pPr>
              <w:pStyle w:val="Liststycke"/>
              <w:numPr>
                <w:ilvl w:val="0"/>
                <w:numId w:val="3"/>
              </w:numPr>
              <w:spacing w:before="0" w:after="240" w:line="240" w:lineRule="auto"/>
              <w:ind w:left="317" w:hanging="288"/>
              <w:contextualSpacing w:val="0"/>
              <w:rPr>
                <w:sz w:val="22"/>
                <w:lang w:val="en-US"/>
              </w:rPr>
            </w:pPr>
            <w:r w:rsidRPr="00AA3A50">
              <w:rPr>
                <w:sz w:val="22"/>
                <w:lang w:val="en-US"/>
              </w:rPr>
              <w:t>The purpose or purposes of the joint processing:</w:t>
            </w:r>
          </w:p>
          <w:p w14:paraId="0DC91A0F" w14:textId="77777777" w:rsidR="00923112" w:rsidRPr="00923112" w:rsidRDefault="00923112" w:rsidP="00AE5572">
            <w:pPr>
              <w:numPr>
                <w:ilvl w:val="0"/>
                <w:numId w:val="1"/>
              </w:numPr>
              <w:spacing w:before="300" w:after="160" w:line="240" w:lineRule="auto"/>
              <w:rPr>
                <w:i/>
                <w:iCs/>
                <w:sz w:val="22"/>
                <w:lang w:val="en-US"/>
              </w:rPr>
            </w:pPr>
            <w:r w:rsidRPr="00923112">
              <w:rPr>
                <w:i/>
                <w:iCs/>
                <w:sz w:val="22"/>
                <w:lang w:val="en-US"/>
              </w:rPr>
              <w:t>The specific reasons for why the personal data is processed.</w:t>
            </w:r>
          </w:p>
        </w:tc>
        <w:tc>
          <w:tcPr>
            <w:tcW w:w="4525" w:type="dxa"/>
          </w:tcPr>
          <w:p w14:paraId="573A59EF" w14:textId="77777777" w:rsidR="00923112" w:rsidRPr="00923112" w:rsidRDefault="00923112" w:rsidP="00B34403">
            <w:pPr>
              <w:spacing w:before="280" w:line="276" w:lineRule="auto"/>
              <w:rPr>
                <w:i/>
                <w:iCs/>
                <w:sz w:val="22"/>
                <w:lang w:val="en-US"/>
              </w:rPr>
            </w:pPr>
            <w:r w:rsidRPr="00923112">
              <w:rPr>
                <w:sz w:val="22"/>
                <w:lang w:val="en-US"/>
              </w:rPr>
              <w:t xml:space="preserve">The purpose of the personal data processing is </w:t>
            </w:r>
            <w:r w:rsidRPr="00923112">
              <w:rPr>
                <w:sz w:val="22"/>
                <w:highlight w:val="yellow"/>
                <w:lang w:val="en-US"/>
              </w:rPr>
              <w:t xml:space="preserve">[…… </w:t>
            </w:r>
            <w:r w:rsidRPr="00923112">
              <w:rPr>
                <w:i/>
                <w:iCs/>
                <w:sz w:val="22"/>
                <w:highlight w:val="yellow"/>
                <w:lang w:val="en-US"/>
              </w:rPr>
              <w:t>for instance to conduct research in accordance with the project’s ethical review decision.]</w:t>
            </w:r>
          </w:p>
        </w:tc>
      </w:tr>
      <w:tr w:rsidR="00923112" w:rsidRPr="00653DE6" w14:paraId="2FBD1713" w14:textId="77777777" w:rsidTr="00FA5783">
        <w:trPr>
          <w:cantSplit/>
        </w:trPr>
        <w:tc>
          <w:tcPr>
            <w:tcW w:w="4531" w:type="dxa"/>
          </w:tcPr>
          <w:p w14:paraId="2EFC12C1" w14:textId="270C878F" w:rsidR="00923112" w:rsidRPr="00F368A8" w:rsidRDefault="00923112" w:rsidP="00AE5572">
            <w:pPr>
              <w:pStyle w:val="Liststycke"/>
              <w:numPr>
                <w:ilvl w:val="0"/>
                <w:numId w:val="3"/>
              </w:numPr>
              <w:spacing w:before="0" w:after="240" w:line="240" w:lineRule="auto"/>
              <w:ind w:left="317" w:hanging="288"/>
              <w:contextualSpacing w:val="0"/>
              <w:rPr>
                <w:i/>
                <w:iCs/>
                <w:sz w:val="22"/>
                <w:lang w:val="en-US"/>
              </w:rPr>
            </w:pPr>
            <w:r w:rsidRPr="00BD6A48">
              <w:rPr>
                <w:sz w:val="22"/>
                <w:lang w:val="en-US"/>
              </w:rPr>
              <w:t>Description of the processing that occurs</w:t>
            </w:r>
            <w:r w:rsidR="00F368A8">
              <w:rPr>
                <w:sz w:val="22"/>
                <w:lang w:val="en-US"/>
              </w:rPr>
              <w:t xml:space="preserve"> </w:t>
            </w:r>
            <w:r w:rsidRPr="00F368A8">
              <w:rPr>
                <w:sz w:val="22"/>
                <w:lang w:val="en-US"/>
              </w:rPr>
              <w:t>in conjunction with the joint controllership:</w:t>
            </w:r>
          </w:p>
          <w:p w14:paraId="17684FF5" w14:textId="77777777" w:rsidR="00923112" w:rsidRPr="007F0C1C" w:rsidRDefault="00923112" w:rsidP="00AE5572">
            <w:pPr>
              <w:pStyle w:val="Liststycke"/>
              <w:numPr>
                <w:ilvl w:val="0"/>
                <w:numId w:val="12"/>
              </w:numPr>
              <w:spacing w:before="0" w:after="240" w:line="240" w:lineRule="auto"/>
              <w:rPr>
                <w:i/>
                <w:iCs/>
                <w:sz w:val="22"/>
                <w:lang w:val="en-US"/>
              </w:rPr>
            </w:pPr>
            <w:r w:rsidRPr="007F0C1C">
              <w:rPr>
                <w:i/>
                <w:iCs/>
                <w:sz w:val="22"/>
                <w:lang w:val="en-US"/>
              </w:rPr>
              <w:t xml:space="preserve">What is </w:t>
            </w:r>
            <w:proofErr w:type="gramStart"/>
            <w:r w:rsidRPr="007F0C1C">
              <w:rPr>
                <w:i/>
                <w:iCs/>
                <w:sz w:val="22"/>
                <w:lang w:val="en-US"/>
              </w:rPr>
              <w:t>actually being</w:t>
            </w:r>
            <w:proofErr w:type="gramEnd"/>
            <w:r w:rsidRPr="007F0C1C">
              <w:rPr>
                <w:i/>
                <w:iCs/>
                <w:sz w:val="22"/>
                <w:lang w:val="en-US"/>
              </w:rPr>
              <w:t xml:space="preserve"> done with the personal data?</w:t>
            </w:r>
          </w:p>
        </w:tc>
        <w:tc>
          <w:tcPr>
            <w:tcW w:w="4525" w:type="dxa"/>
          </w:tcPr>
          <w:p w14:paraId="24CE7774" w14:textId="77777777" w:rsidR="00923112" w:rsidRPr="00923112" w:rsidRDefault="00923112" w:rsidP="00C52A9E">
            <w:pPr>
              <w:spacing w:before="280" w:line="276" w:lineRule="auto"/>
              <w:rPr>
                <w:sz w:val="22"/>
                <w:lang w:val="en-US"/>
              </w:rPr>
            </w:pPr>
            <w:r w:rsidRPr="00923112">
              <w:rPr>
                <w:sz w:val="22"/>
                <w:lang w:val="en-US"/>
              </w:rPr>
              <w:t xml:space="preserve">The processing of personal data consists of: </w:t>
            </w:r>
            <w:r w:rsidRPr="00923112">
              <w:rPr>
                <w:sz w:val="22"/>
                <w:highlight w:val="yellow"/>
                <w:lang w:val="en-US"/>
              </w:rPr>
              <w:t>[…</w:t>
            </w:r>
            <w:r w:rsidRPr="00923112">
              <w:rPr>
                <w:i/>
                <w:iCs/>
                <w:sz w:val="22"/>
                <w:highlight w:val="yellow"/>
                <w:lang w:val="en-US"/>
              </w:rPr>
              <w:t>these have been collected in conjunction with …]</w:t>
            </w:r>
          </w:p>
          <w:p w14:paraId="6F7D29E5" w14:textId="21E9426F" w:rsidR="00923112" w:rsidRPr="00923112" w:rsidRDefault="00923112" w:rsidP="009319D8">
            <w:pPr>
              <w:spacing w:before="300" w:after="280" w:line="276" w:lineRule="auto"/>
              <w:rPr>
                <w:i/>
                <w:iCs/>
                <w:sz w:val="22"/>
                <w:lang w:val="en-US"/>
              </w:rPr>
            </w:pPr>
            <w:r w:rsidRPr="00923112">
              <w:rPr>
                <w:i/>
                <w:iCs/>
                <w:sz w:val="22"/>
                <w:lang w:val="en-US"/>
              </w:rPr>
              <w:t>Here it should be stated what the processing consists of: Normally this refers to the collection of research data, processing of research data, analysis of research data.</w:t>
            </w:r>
          </w:p>
        </w:tc>
      </w:tr>
      <w:tr w:rsidR="00923112" w:rsidRPr="00653DE6" w14:paraId="6186933D" w14:textId="77777777" w:rsidTr="00FA5783">
        <w:trPr>
          <w:cantSplit/>
        </w:trPr>
        <w:tc>
          <w:tcPr>
            <w:tcW w:w="4531" w:type="dxa"/>
          </w:tcPr>
          <w:p w14:paraId="042B0880" w14:textId="77777777" w:rsidR="00923112" w:rsidRPr="00B80BB5" w:rsidRDefault="00923112" w:rsidP="00AE5572">
            <w:pPr>
              <w:pStyle w:val="Liststycke"/>
              <w:numPr>
                <w:ilvl w:val="0"/>
                <w:numId w:val="3"/>
              </w:numPr>
              <w:spacing w:before="0" w:after="240" w:line="240" w:lineRule="auto"/>
              <w:ind w:left="317" w:hanging="288"/>
              <w:contextualSpacing w:val="0"/>
              <w:rPr>
                <w:sz w:val="22"/>
                <w:lang w:val="en-US"/>
              </w:rPr>
            </w:pPr>
            <w:r w:rsidRPr="00B80BB5">
              <w:rPr>
                <w:sz w:val="22"/>
                <w:lang w:val="en-US"/>
              </w:rPr>
              <w:t>Legal basis of the respective parties for the processing of personal data, and, if applicable, for which processing measure or measures the legal basis applies</w:t>
            </w:r>
          </w:p>
          <w:p w14:paraId="3448A8B5" w14:textId="77777777" w:rsidR="00923112" w:rsidRPr="007F0C1C" w:rsidRDefault="00923112" w:rsidP="00AE5572">
            <w:pPr>
              <w:pStyle w:val="Liststycke"/>
              <w:numPr>
                <w:ilvl w:val="0"/>
                <w:numId w:val="13"/>
              </w:numPr>
              <w:spacing w:before="280" w:after="240" w:line="240" w:lineRule="auto"/>
              <w:rPr>
                <w:i/>
                <w:iCs/>
                <w:sz w:val="22"/>
                <w:lang w:val="en-US"/>
              </w:rPr>
            </w:pPr>
            <w:r w:rsidRPr="007F0C1C">
              <w:rPr>
                <w:i/>
                <w:iCs/>
                <w:sz w:val="22"/>
                <w:lang w:val="en-US"/>
              </w:rPr>
              <w:t xml:space="preserve">The legal basis according to article 6 GDPR on which each of the </w:t>
            </w:r>
            <w:proofErr w:type="gramStart"/>
            <w:r w:rsidRPr="007F0C1C">
              <w:rPr>
                <w:i/>
                <w:iCs/>
                <w:sz w:val="22"/>
                <w:lang w:val="en-US"/>
              </w:rPr>
              <w:t>parties</w:t>
            </w:r>
            <w:proofErr w:type="gramEnd"/>
            <w:r w:rsidRPr="007F0C1C">
              <w:rPr>
                <w:i/>
                <w:iCs/>
                <w:sz w:val="22"/>
                <w:lang w:val="en-US"/>
              </w:rPr>
              <w:t xml:space="preserve"> process personal data.</w:t>
            </w:r>
          </w:p>
        </w:tc>
        <w:tc>
          <w:tcPr>
            <w:tcW w:w="4525" w:type="dxa"/>
          </w:tcPr>
          <w:p w14:paraId="70C72BFC" w14:textId="77777777" w:rsidR="00923112" w:rsidRPr="00923112" w:rsidRDefault="00923112" w:rsidP="004B579C">
            <w:pPr>
              <w:spacing w:before="280" w:line="276" w:lineRule="auto"/>
              <w:rPr>
                <w:i/>
                <w:iCs/>
                <w:sz w:val="22"/>
                <w:highlight w:val="yellow"/>
                <w:lang w:val="en-US"/>
              </w:rPr>
            </w:pPr>
            <w:r w:rsidRPr="00923112">
              <w:rPr>
                <w:sz w:val="22"/>
                <w:lang w:val="en-US"/>
              </w:rPr>
              <w:t>The legal basis for processing personal data</w:t>
            </w:r>
            <w:r w:rsidRPr="00923112">
              <w:rPr>
                <w:i/>
                <w:iCs/>
                <w:sz w:val="22"/>
                <w:lang w:val="en-US"/>
              </w:rPr>
              <w:t xml:space="preserve"> </w:t>
            </w:r>
            <w:r w:rsidRPr="00923112">
              <w:rPr>
                <w:sz w:val="22"/>
                <w:highlight w:val="yellow"/>
                <w:lang w:val="en-US"/>
              </w:rPr>
              <w:t>[</w:t>
            </w:r>
            <w:r w:rsidRPr="00923112">
              <w:rPr>
                <w:i/>
                <w:iCs/>
                <w:sz w:val="22"/>
                <w:highlight w:val="yellow"/>
                <w:lang w:val="en-US"/>
              </w:rPr>
              <w:t>… .</w:t>
            </w:r>
            <w:r w:rsidRPr="00923112">
              <w:rPr>
                <w:sz w:val="22"/>
                <w:lang w:val="en-US"/>
              </w:rPr>
              <w:t xml:space="preserve"> </w:t>
            </w:r>
            <w:r w:rsidRPr="00923112">
              <w:rPr>
                <w:i/>
                <w:iCs/>
                <w:sz w:val="22"/>
                <w:highlight w:val="yellow"/>
                <w:lang w:val="en-US"/>
              </w:rPr>
              <w:t>within the framework of the research project is that the processing is necessary to perform a task of public interest in accordance with Article 6 § e) GDPR]</w:t>
            </w:r>
          </w:p>
          <w:p w14:paraId="35F3B57F" w14:textId="5DAF63A4" w:rsidR="00923112" w:rsidRPr="00923112" w:rsidRDefault="00923112" w:rsidP="007B1067">
            <w:pPr>
              <w:spacing w:before="280" w:after="260" w:line="276" w:lineRule="auto"/>
              <w:rPr>
                <w:i/>
                <w:iCs/>
                <w:sz w:val="22"/>
                <w:lang w:val="en-US"/>
              </w:rPr>
            </w:pPr>
            <w:r w:rsidRPr="00923112">
              <w:rPr>
                <w:i/>
                <w:iCs/>
                <w:sz w:val="22"/>
                <w:highlight w:val="yellow"/>
                <w:lang w:val="en-US"/>
              </w:rPr>
              <w:t>The legal basis for each party should be stated here. In most cases, the legal basis should be that they perform a task of public interest. The public interest is partly based on the organization’s given task of conducting research (in the form of legislation regarding higher education institutions and health providers) and this assignment is also confirmed by the ethics review authority’s decision to allow</w:t>
            </w:r>
            <w:r w:rsidRPr="00923112">
              <w:rPr>
                <w:i/>
                <w:iCs/>
                <w:sz w:val="22"/>
                <w:lang w:val="en-US"/>
              </w:rPr>
              <w:t xml:space="preserve"> </w:t>
            </w:r>
          </w:p>
        </w:tc>
      </w:tr>
      <w:tr w:rsidR="00923112" w:rsidRPr="00923112" w14:paraId="6FB87A3F" w14:textId="77777777" w:rsidTr="00FA5783">
        <w:trPr>
          <w:cantSplit/>
        </w:trPr>
        <w:tc>
          <w:tcPr>
            <w:tcW w:w="4531" w:type="dxa"/>
          </w:tcPr>
          <w:p w14:paraId="02CB7DA8" w14:textId="77777777" w:rsidR="00923112" w:rsidRPr="002A225D" w:rsidRDefault="00923112" w:rsidP="00AE5572">
            <w:pPr>
              <w:pStyle w:val="Liststycke"/>
              <w:numPr>
                <w:ilvl w:val="0"/>
                <w:numId w:val="3"/>
              </w:numPr>
              <w:spacing w:before="0" w:after="240" w:line="240" w:lineRule="auto"/>
              <w:ind w:left="317" w:hanging="288"/>
              <w:contextualSpacing w:val="0"/>
              <w:rPr>
                <w:sz w:val="22"/>
                <w:lang w:val="en-US"/>
              </w:rPr>
            </w:pPr>
            <w:r w:rsidRPr="002A225D">
              <w:rPr>
                <w:sz w:val="22"/>
                <w:lang w:val="en-US"/>
              </w:rPr>
              <w:lastRenderedPageBreak/>
              <w:t>Types of personal data:</w:t>
            </w:r>
          </w:p>
          <w:p w14:paraId="4495EFE8" w14:textId="77777777" w:rsidR="00923112" w:rsidRPr="007F0C1C" w:rsidRDefault="00923112" w:rsidP="00AE5572">
            <w:pPr>
              <w:pStyle w:val="Liststycke"/>
              <w:numPr>
                <w:ilvl w:val="0"/>
                <w:numId w:val="14"/>
              </w:numPr>
              <w:spacing w:before="280" w:after="240" w:line="240" w:lineRule="auto"/>
              <w:rPr>
                <w:i/>
                <w:iCs/>
                <w:sz w:val="22"/>
                <w:lang w:val="en-US"/>
              </w:rPr>
            </w:pPr>
            <w:r w:rsidRPr="007F0C1C">
              <w:rPr>
                <w:i/>
                <w:iCs/>
                <w:sz w:val="22"/>
                <w:lang w:val="en-US"/>
              </w:rPr>
              <w:t xml:space="preserve">What kind of categories of personal data that will be </w:t>
            </w:r>
            <w:proofErr w:type="gramStart"/>
            <w:r w:rsidRPr="007F0C1C">
              <w:rPr>
                <w:i/>
                <w:iCs/>
                <w:sz w:val="22"/>
                <w:lang w:val="en-US"/>
              </w:rPr>
              <w:t>processed.</w:t>
            </w:r>
            <w:proofErr w:type="gramEnd"/>
            <w:r w:rsidRPr="007F0C1C">
              <w:rPr>
                <w:i/>
                <w:iCs/>
                <w:sz w:val="22"/>
                <w:lang w:val="en-US"/>
              </w:rPr>
              <w:t xml:space="preserve"> </w:t>
            </w:r>
          </w:p>
        </w:tc>
        <w:tc>
          <w:tcPr>
            <w:tcW w:w="4525" w:type="dxa"/>
          </w:tcPr>
          <w:p w14:paraId="662C0464" w14:textId="77777777" w:rsidR="00923112" w:rsidRPr="00923112" w:rsidRDefault="00923112" w:rsidP="006D756C">
            <w:pPr>
              <w:spacing w:before="280" w:line="276" w:lineRule="auto"/>
              <w:rPr>
                <w:i/>
                <w:iCs/>
                <w:sz w:val="22"/>
                <w:lang w:val="en-US"/>
              </w:rPr>
            </w:pPr>
            <w:r w:rsidRPr="00923112">
              <w:rPr>
                <w:i/>
                <w:iCs/>
                <w:sz w:val="22"/>
                <w:lang w:val="en-US"/>
              </w:rPr>
              <w:t>The types of personal data that occur should be described here, as examples can be mentioned</w:t>
            </w:r>
          </w:p>
          <w:p w14:paraId="41B16EA8" w14:textId="77777777" w:rsidR="00923112" w:rsidRPr="008748D3" w:rsidRDefault="00923112" w:rsidP="00AE5572">
            <w:pPr>
              <w:pStyle w:val="Liststycke"/>
              <w:numPr>
                <w:ilvl w:val="0"/>
                <w:numId w:val="4"/>
              </w:numPr>
              <w:spacing w:before="0" w:line="312" w:lineRule="auto"/>
              <w:contextualSpacing w:val="0"/>
              <w:rPr>
                <w:i/>
                <w:iCs/>
                <w:sz w:val="22"/>
                <w:highlight w:val="yellow"/>
                <w:lang w:val="en-US"/>
              </w:rPr>
            </w:pPr>
            <w:r w:rsidRPr="008748D3">
              <w:rPr>
                <w:i/>
                <w:iCs/>
                <w:sz w:val="22"/>
                <w:highlight w:val="yellow"/>
                <w:lang w:val="en-US"/>
              </w:rPr>
              <w:t xml:space="preserve">Basic contact information like name, address, phone number and e-mail. </w:t>
            </w:r>
          </w:p>
          <w:p w14:paraId="4EEF0650" w14:textId="77777777" w:rsidR="00923112" w:rsidRPr="008748D3" w:rsidRDefault="00923112" w:rsidP="00AE5572">
            <w:pPr>
              <w:pStyle w:val="Liststycke"/>
              <w:numPr>
                <w:ilvl w:val="0"/>
                <w:numId w:val="4"/>
              </w:numPr>
              <w:spacing w:before="0" w:line="312" w:lineRule="auto"/>
              <w:contextualSpacing w:val="0"/>
              <w:rPr>
                <w:i/>
                <w:iCs/>
                <w:sz w:val="22"/>
                <w:highlight w:val="yellow"/>
                <w:lang w:val="en-US"/>
              </w:rPr>
            </w:pPr>
            <w:r w:rsidRPr="008748D3">
              <w:rPr>
                <w:i/>
                <w:iCs/>
                <w:sz w:val="22"/>
                <w:highlight w:val="yellow"/>
                <w:lang w:val="en-US"/>
              </w:rPr>
              <w:t>Social security number.</w:t>
            </w:r>
          </w:p>
          <w:p w14:paraId="42D1F863" w14:textId="77777777" w:rsidR="00923112" w:rsidRPr="008748D3" w:rsidRDefault="00923112" w:rsidP="00AE5572">
            <w:pPr>
              <w:pStyle w:val="Liststycke"/>
              <w:numPr>
                <w:ilvl w:val="0"/>
                <w:numId w:val="4"/>
              </w:numPr>
              <w:spacing w:before="0" w:line="312" w:lineRule="auto"/>
              <w:contextualSpacing w:val="0"/>
              <w:rPr>
                <w:i/>
                <w:iCs/>
                <w:sz w:val="22"/>
                <w:highlight w:val="yellow"/>
                <w:lang w:val="en-US"/>
              </w:rPr>
            </w:pPr>
            <w:r w:rsidRPr="008748D3">
              <w:rPr>
                <w:i/>
                <w:iCs/>
                <w:sz w:val="22"/>
                <w:highlight w:val="yellow"/>
                <w:lang w:val="en-US"/>
              </w:rPr>
              <w:t>Pictures of recognizable individuals.</w:t>
            </w:r>
          </w:p>
          <w:p w14:paraId="0C32D931" w14:textId="77777777" w:rsidR="00923112" w:rsidRPr="008748D3" w:rsidRDefault="00923112" w:rsidP="00AE5572">
            <w:pPr>
              <w:pStyle w:val="Liststycke"/>
              <w:numPr>
                <w:ilvl w:val="0"/>
                <w:numId w:val="4"/>
              </w:numPr>
              <w:spacing w:before="0" w:line="312" w:lineRule="auto"/>
              <w:contextualSpacing w:val="0"/>
              <w:rPr>
                <w:i/>
                <w:iCs/>
                <w:sz w:val="22"/>
                <w:highlight w:val="yellow"/>
                <w:lang w:val="en-US"/>
              </w:rPr>
            </w:pPr>
            <w:r w:rsidRPr="008748D3">
              <w:rPr>
                <w:i/>
                <w:iCs/>
                <w:sz w:val="22"/>
                <w:highlight w:val="yellow"/>
                <w:lang w:val="en-US"/>
              </w:rPr>
              <w:t xml:space="preserve">Personal data regarding relatives/next of kin. </w:t>
            </w:r>
          </w:p>
          <w:p w14:paraId="15C2DD82" w14:textId="77777777" w:rsidR="00923112" w:rsidRPr="008748D3" w:rsidRDefault="00923112" w:rsidP="00AE5572">
            <w:pPr>
              <w:pStyle w:val="Liststycke"/>
              <w:numPr>
                <w:ilvl w:val="0"/>
                <w:numId w:val="4"/>
              </w:numPr>
              <w:spacing w:before="0" w:line="312" w:lineRule="auto"/>
              <w:contextualSpacing w:val="0"/>
              <w:rPr>
                <w:highlight w:val="yellow"/>
                <w:lang w:val="en-US"/>
              </w:rPr>
            </w:pPr>
            <w:r w:rsidRPr="008748D3">
              <w:rPr>
                <w:i/>
                <w:iCs/>
                <w:sz w:val="22"/>
                <w:highlight w:val="yellow"/>
                <w:lang w:val="en-US"/>
              </w:rPr>
              <w:t>Information from medical records.</w:t>
            </w:r>
          </w:p>
        </w:tc>
      </w:tr>
      <w:tr w:rsidR="00923112" w:rsidRPr="00653DE6" w14:paraId="48A3A983" w14:textId="77777777" w:rsidTr="00FA5783">
        <w:trPr>
          <w:cantSplit/>
        </w:trPr>
        <w:tc>
          <w:tcPr>
            <w:tcW w:w="4531" w:type="dxa"/>
          </w:tcPr>
          <w:p w14:paraId="1336C1AB" w14:textId="77777777" w:rsidR="00923112" w:rsidRPr="002A225D" w:rsidRDefault="00923112" w:rsidP="00AE5572">
            <w:pPr>
              <w:pStyle w:val="Liststycke"/>
              <w:numPr>
                <w:ilvl w:val="0"/>
                <w:numId w:val="3"/>
              </w:numPr>
              <w:spacing w:before="0" w:after="280" w:line="240" w:lineRule="auto"/>
              <w:ind w:left="317" w:hanging="288"/>
              <w:contextualSpacing w:val="0"/>
              <w:rPr>
                <w:sz w:val="22"/>
                <w:lang w:val="en-US"/>
              </w:rPr>
            </w:pPr>
            <w:r w:rsidRPr="002A225D">
              <w:rPr>
                <w:sz w:val="22"/>
                <w:lang w:val="en-US"/>
              </w:rPr>
              <w:t>Categories of sensitive personal data:</w:t>
            </w:r>
          </w:p>
          <w:p w14:paraId="2BCAD903" w14:textId="77777777" w:rsidR="00923112" w:rsidRPr="00F61770" w:rsidRDefault="00923112" w:rsidP="00F61770">
            <w:pPr>
              <w:pStyle w:val="Liststycke"/>
              <w:numPr>
                <w:ilvl w:val="0"/>
                <w:numId w:val="28"/>
              </w:numPr>
              <w:spacing w:before="280" w:after="240" w:line="240" w:lineRule="auto"/>
              <w:rPr>
                <w:sz w:val="22"/>
                <w:lang w:val="en-US"/>
              </w:rPr>
            </w:pPr>
            <w:r w:rsidRPr="00F61770">
              <w:rPr>
                <w:i/>
                <w:iCs/>
                <w:sz w:val="22"/>
                <w:lang w:val="en-US"/>
              </w:rPr>
              <w:t>What kind of categories of sensitive (special) personal data is being processed? There are a specific number of categories listed in article 9.1 GDPR that are considered sensitive.</w:t>
            </w:r>
          </w:p>
        </w:tc>
        <w:tc>
          <w:tcPr>
            <w:tcW w:w="4525" w:type="dxa"/>
          </w:tcPr>
          <w:p w14:paraId="70F7D976" w14:textId="77777777" w:rsidR="00923112" w:rsidRPr="00923112" w:rsidRDefault="00923112" w:rsidP="00AB3BC5">
            <w:pPr>
              <w:spacing w:before="280" w:line="276" w:lineRule="auto"/>
              <w:rPr>
                <w:i/>
                <w:iCs/>
                <w:sz w:val="22"/>
                <w:lang w:val="en-US"/>
              </w:rPr>
            </w:pPr>
            <w:r w:rsidRPr="00923112">
              <w:rPr>
                <w:i/>
                <w:iCs/>
                <w:sz w:val="22"/>
                <w:lang w:val="en-US"/>
              </w:rPr>
              <w:t xml:space="preserve">Any types of sensitive personal data that is being processed should be described here. (according to article 9.1 GDPR). </w:t>
            </w:r>
          </w:p>
          <w:p w14:paraId="171782A2" w14:textId="77777777" w:rsidR="00923112" w:rsidRPr="00923112" w:rsidRDefault="00923112" w:rsidP="00AB3BC5">
            <w:pPr>
              <w:spacing w:before="280" w:line="276" w:lineRule="auto"/>
              <w:rPr>
                <w:i/>
                <w:iCs/>
                <w:sz w:val="22"/>
                <w:lang w:val="en-US"/>
              </w:rPr>
            </w:pPr>
            <w:r w:rsidRPr="00923112">
              <w:rPr>
                <w:i/>
                <w:iCs/>
                <w:sz w:val="22"/>
                <w:lang w:val="en-US"/>
              </w:rPr>
              <w:t>These categories are processed:</w:t>
            </w:r>
          </w:p>
          <w:p w14:paraId="7BFB51B2"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Ethnic origin.</w:t>
            </w:r>
          </w:p>
          <w:p w14:paraId="737A197D"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Political opinions.</w:t>
            </w:r>
          </w:p>
          <w:p w14:paraId="2E30CC1E"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Religious or philosophical beliefs.</w:t>
            </w:r>
          </w:p>
          <w:p w14:paraId="2113708B"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Trade union membership.</w:t>
            </w:r>
          </w:p>
          <w:p w14:paraId="01D14F94"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Data concerning health.</w:t>
            </w:r>
          </w:p>
          <w:p w14:paraId="55E69464"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A natural person’s sex life or sexual orientation.</w:t>
            </w:r>
          </w:p>
          <w:p w14:paraId="09D79FF1"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genetic data.</w:t>
            </w:r>
          </w:p>
          <w:p w14:paraId="301FA257" w14:textId="77777777" w:rsidR="00923112" w:rsidRPr="008748D3" w:rsidRDefault="00923112" w:rsidP="00AE5572">
            <w:pPr>
              <w:pStyle w:val="Liststycke"/>
              <w:numPr>
                <w:ilvl w:val="0"/>
                <w:numId w:val="5"/>
              </w:numPr>
              <w:spacing w:before="0" w:line="312" w:lineRule="auto"/>
              <w:contextualSpacing w:val="0"/>
              <w:rPr>
                <w:highlight w:val="yellow"/>
                <w:lang w:val="en-US"/>
              </w:rPr>
            </w:pPr>
            <w:r w:rsidRPr="008748D3">
              <w:rPr>
                <w:i/>
                <w:iCs/>
                <w:sz w:val="22"/>
                <w:highlight w:val="yellow"/>
                <w:lang w:val="en-US"/>
              </w:rPr>
              <w:t>biometric data for the purpose of uniquely identifying a natural person.</w:t>
            </w:r>
          </w:p>
        </w:tc>
      </w:tr>
      <w:tr w:rsidR="00923112" w:rsidRPr="00923112" w14:paraId="72E05AB5" w14:textId="77777777" w:rsidTr="00FA5783">
        <w:trPr>
          <w:cantSplit/>
        </w:trPr>
        <w:tc>
          <w:tcPr>
            <w:tcW w:w="4531" w:type="dxa"/>
          </w:tcPr>
          <w:p w14:paraId="580A47EF" w14:textId="3E678A09" w:rsidR="00A14978" w:rsidRPr="00A14978" w:rsidRDefault="00923112" w:rsidP="00AE5572">
            <w:pPr>
              <w:pStyle w:val="Liststycke"/>
              <w:numPr>
                <w:ilvl w:val="0"/>
                <w:numId w:val="3"/>
              </w:numPr>
              <w:spacing w:before="0" w:after="280" w:line="240" w:lineRule="auto"/>
              <w:ind w:left="317" w:hanging="288"/>
              <w:contextualSpacing w:val="0"/>
              <w:rPr>
                <w:sz w:val="22"/>
                <w:lang w:val="en-US"/>
              </w:rPr>
            </w:pPr>
            <w:r w:rsidRPr="008748D3">
              <w:rPr>
                <w:sz w:val="22"/>
                <w:lang w:val="en-US"/>
              </w:rPr>
              <w:t>Privacy-sensitive personal data, which is not considered sensitive (special) personal data according to article 9.1 GDPR:</w:t>
            </w:r>
          </w:p>
          <w:p w14:paraId="3D0BA8E4" w14:textId="77777777" w:rsidR="00923112" w:rsidRPr="00F61770" w:rsidRDefault="00923112" w:rsidP="00F61770">
            <w:pPr>
              <w:pStyle w:val="Liststycke"/>
              <w:numPr>
                <w:ilvl w:val="0"/>
                <w:numId w:val="29"/>
              </w:numPr>
              <w:spacing w:before="280" w:after="240" w:line="240" w:lineRule="auto"/>
              <w:rPr>
                <w:i/>
                <w:iCs/>
                <w:sz w:val="22"/>
                <w:lang w:val="en-US"/>
              </w:rPr>
            </w:pPr>
            <w:r w:rsidRPr="00F61770">
              <w:rPr>
                <w:i/>
                <w:iCs/>
                <w:sz w:val="22"/>
                <w:lang w:val="en-US"/>
              </w:rPr>
              <w:t>Any categories that are not sensitive according to the GDPR but are still particularly privacy sensitive and thus may need to be protected.</w:t>
            </w:r>
          </w:p>
        </w:tc>
        <w:tc>
          <w:tcPr>
            <w:tcW w:w="4525" w:type="dxa"/>
          </w:tcPr>
          <w:p w14:paraId="574C8A6E" w14:textId="77777777" w:rsidR="00923112" w:rsidRPr="00923112" w:rsidRDefault="00923112" w:rsidP="00FD4442">
            <w:pPr>
              <w:spacing w:before="280" w:line="276" w:lineRule="auto"/>
              <w:rPr>
                <w:i/>
                <w:iCs/>
                <w:sz w:val="22"/>
                <w:lang w:val="en-US"/>
              </w:rPr>
            </w:pPr>
            <w:r w:rsidRPr="00923112">
              <w:rPr>
                <w:i/>
                <w:iCs/>
                <w:sz w:val="22"/>
                <w:lang w:val="en-US"/>
              </w:rPr>
              <w:t xml:space="preserve">It must be stated here whether personal data are included that do not fall into the category of sensitive personal data according to Article 9 (1) </w:t>
            </w:r>
            <w:proofErr w:type="gramStart"/>
            <w:r w:rsidRPr="00923112">
              <w:rPr>
                <w:i/>
                <w:iCs/>
                <w:sz w:val="22"/>
                <w:lang w:val="en-US"/>
              </w:rPr>
              <w:t>GDPR, but</w:t>
            </w:r>
            <w:proofErr w:type="gramEnd"/>
            <w:r w:rsidRPr="00923112">
              <w:rPr>
                <w:i/>
                <w:iCs/>
                <w:sz w:val="22"/>
                <w:lang w:val="en-US"/>
              </w:rPr>
              <w:t xml:space="preserve"> are still considered to be particularly worthy of protection.</w:t>
            </w:r>
          </w:p>
          <w:p w14:paraId="538B3836" w14:textId="77777777" w:rsidR="00923112" w:rsidRPr="00923112" w:rsidRDefault="00923112" w:rsidP="00566639">
            <w:pPr>
              <w:spacing w:before="300" w:line="276" w:lineRule="auto"/>
              <w:rPr>
                <w:i/>
                <w:iCs/>
                <w:sz w:val="22"/>
                <w:lang w:val="en-US"/>
              </w:rPr>
            </w:pPr>
            <w:r w:rsidRPr="00923112">
              <w:rPr>
                <w:i/>
                <w:iCs/>
                <w:sz w:val="22"/>
                <w:lang w:val="en-US"/>
              </w:rPr>
              <w:t xml:space="preserve">For example: </w:t>
            </w:r>
          </w:p>
          <w:p w14:paraId="1EF852E6" w14:textId="77777777" w:rsidR="00923112" w:rsidRPr="008748D3" w:rsidRDefault="00923112" w:rsidP="00AE5572">
            <w:pPr>
              <w:pStyle w:val="Liststycke"/>
              <w:numPr>
                <w:ilvl w:val="0"/>
                <w:numId w:val="6"/>
              </w:numPr>
              <w:spacing w:before="0" w:line="312" w:lineRule="auto"/>
              <w:ind w:left="720"/>
              <w:contextualSpacing w:val="0"/>
              <w:rPr>
                <w:i/>
                <w:iCs/>
                <w:sz w:val="22"/>
                <w:highlight w:val="yellow"/>
                <w:lang w:val="en-US"/>
              </w:rPr>
            </w:pPr>
            <w:r w:rsidRPr="008748D3">
              <w:rPr>
                <w:i/>
                <w:iCs/>
                <w:sz w:val="22"/>
                <w:highlight w:val="yellow"/>
                <w:lang w:val="en-US"/>
              </w:rPr>
              <w:t>valuing personal data, such as e.g. grades or other graded assessment.</w:t>
            </w:r>
          </w:p>
          <w:p w14:paraId="37910EE2" w14:textId="77777777" w:rsidR="00923112" w:rsidRPr="008748D3" w:rsidRDefault="00923112" w:rsidP="00AE5572">
            <w:pPr>
              <w:pStyle w:val="Liststycke"/>
              <w:numPr>
                <w:ilvl w:val="0"/>
                <w:numId w:val="6"/>
              </w:numPr>
              <w:spacing w:before="0" w:line="312" w:lineRule="auto"/>
              <w:ind w:left="720"/>
              <w:contextualSpacing w:val="0"/>
              <w:rPr>
                <w:i/>
                <w:iCs/>
                <w:sz w:val="22"/>
                <w:highlight w:val="yellow"/>
                <w:lang w:val="en-US"/>
              </w:rPr>
            </w:pPr>
            <w:r w:rsidRPr="008748D3">
              <w:rPr>
                <w:i/>
                <w:iCs/>
                <w:sz w:val="22"/>
                <w:highlight w:val="yellow"/>
                <w:lang w:val="en-US"/>
              </w:rPr>
              <w:t>information about a person's financial circumstances.</w:t>
            </w:r>
          </w:p>
          <w:p w14:paraId="52F4B8F6" w14:textId="77777777" w:rsidR="00923112" w:rsidRPr="008748D3" w:rsidRDefault="00923112" w:rsidP="00AE5572">
            <w:pPr>
              <w:pStyle w:val="Liststycke"/>
              <w:numPr>
                <w:ilvl w:val="0"/>
                <w:numId w:val="6"/>
              </w:numPr>
              <w:spacing w:before="0" w:line="312" w:lineRule="auto"/>
              <w:ind w:left="720"/>
              <w:contextualSpacing w:val="0"/>
              <w:rPr>
                <w:i/>
                <w:iCs/>
                <w:sz w:val="22"/>
                <w:highlight w:val="yellow"/>
                <w:lang w:val="en-US"/>
              </w:rPr>
            </w:pPr>
            <w:r w:rsidRPr="008748D3">
              <w:rPr>
                <w:i/>
                <w:iCs/>
                <w:sz w:val="22"/>
                <w:highlight w:val="yellow"/>
                <w:lang w:val="en-US"/>
              </w:rPr>
              <w:t>information on opinions, (in addition to political).</w:t>
            </w:r>
          </w:p>
          <w:p w14:paraId="11688C70" w14:textId="77777777" w:rsidR="00923112" w:rsidRPr="008748D3" w:rsidRDefault="00923112" w:rsidP="00AE5572">
            <w:pPr>
              <w:pStyle w:val="Liststycke"/>
              <w:numPr>
                <w:ilvl w:val="0"/>
                <w:numId w:val="6"/>
              </w:numPr>
              <w:spacing w:before="0" w:line="312" w:lineRule="auto"/>
              <w:ind w:left="720"/>
              <w:contextualSpacing w:val="0"/>
              <w:rPr>
                <w:highlight w:val="yellow"/>
                <w:lang w:val="en-US"/>
              </w:rPr>
            </w:pPr>
            <w:r w:rsidRPr="008748D3">
              <w:rPr>
                <w:i/>
                <w:iCs/>
                <w:sz w:val="22"/>
                <w:highlight w:val="yellow"/>
                <w:lang w:val="en-US"/>
              </w:rPr>
              <w:t>social security number.</w:t>
            </w:r>
          </w:p>
        </w:tc>
      </w:tr>
      <w:tr w:rsidR="00923112" w:rsidRPr="00923112" w14:paraId="072250B8" w14:textId="77777777" w:rsidTr="00FA5783">
        <w:trPr>
          <w:cantSplit/>
        </w:trPr>
        <w:tc>
          <w:tcPr>
            <w:tcW w:w="4531" w:type="dxa"/>
          </w:tcPr>
          <w:p w14:paraId="2404D089" w14:textId="77777777" w:rsidR="00923112" w:rsidRPr="005B46CF" w:rsidRDefault="00923112" w:rsidP="00AE5572">
            <w:pPr>
              <w:pStyle w:val="Liststycke"/>
              <w:numPr>
                <w:ilvl w:val="0"/>
                <w:numId w:val="3"/>
              </w:numPr>
              <w:spacing w:before="0" w:after="200" w:line="312" w:lineRule="auto"/>
              <w:ind w:left="317" w:hanging="288"/>
              <w:contextualSpacing w:val="0"/>
              <w:rPr>
                <w:sz w:val="22"/>
                <w:lang w:val="en-US"/>
              </w:rPr>
            </w:pPr>
            <w:r w:rsidRPr="005B46CF">
              <w:rPr>
                <w:sz w:val="22"/>
                <w:lang w:val="en-US"/>
              </w:rPr>
              <w:lastRenderedPageBreak/>
              <w:t>Types of data subjects:</w:t>
            </w:r>
          </w:p>
          <w:p w14:paraId="6C306B50" w14:textId="77777777" w:rsidR="00923112" w:rsidRPr="00F61770" w:rsidRDefault="00923112" w:rsidP="00F61770">
            <w:pPr>
              <w:pStyle w:val="Liststycke"/>
              <w:numPr>
                <w:ilvl w:val="0"/>
                <w:numId w:val="31"/>
              </w:numPr>
              <w:spacing w:before="280" w:after="240" w:line="240" w:lineRule="auto"/>
              <w:rPr>
                <w:i/>
                <w:iCs/>
                <w:sz w:val="22"/>
                <w:lang w:val="en-US"/>
              </w:rPr>
            </w:pPr>
            <w:r w:rsidRPr="00F61770">
              <w:rPr>
                <w:i/>
                <w:iCs/>
                <w:sz w:val="22"/>
                <w:lang w:val="en-US"/>
              </w:rPr>
              <w:t xml:space="preserve">The categories of data subjects which are included. </w:t>
            </w:r>
          </w:p>
        </w:tc>
        <w:tc>
          <w:tcPr>
            <w:tcW w:w="4525" w:type="dxa"/>
          </w:tcPr>
          <w:p w14:paraId="2BED4EC8" w14:textId="77777777" w:rsidR="00923112" w:rsidRPr="00923112" w:rsidRDefault="00923112" w:rsidP="00FA16A8">
            <w:pPr>
              <w:spacing w:before="280" w:line="276" w:lineRule="auto"/>
              <w:rPr>
                <w:i/>
                <w:iCs/>
                <w:sz w:val="22"/>
                <w:lang w:val="en-US"/>
              </w:rPr>
            </w:pPr>
            <w:r w:rsidRPr="00923112">
              <w:rPr>
                <w:i/>
                <w:iCs/>
                <w:sz w:val="22"/>
                <w:lang w:val="en-US"/>
              </w:rPr>
              <w:t>The categories of data subjects which are included should be stated here.</w:t>
            </w:r>
          </w:p>
          <w:p w14:paraId="36E7C021" w14:textId="77777777" w:rsidR="00923112" w:rsidRPr="00C970F8" w:rsidRDefault="00923112" w:rsidP="00AE5572">
            <w:pPr>
              <w:pStyle w:val="Liststycke"/>
              <w:numPr>
                <w:ilvl w:val="0"/>
                <w:numId w:val="7"/>
              </w:numPr>
              <w:spacing w:before="280" w:line="312" w:lineRule="auto"/>
              <w:rPr>
                <w:i/>
                <w:iCs/>
                <w:sz w:val="22"/>
                <w:highlight w:val="yellow"/>
                <w:lang w:val="en-US"/>
              </w:rPr>
            </w:pPr>
            <w:r w:rsidRPr="00C970F8">
              <w:rPr>
                <w:i/>
                <w:iCs/>
                <w:sz w:val="22"/>
                <w:highlight w:val="yellow"/>
                <w:lang w:val="en-US"/>
              </w:rPr>
              <w:t>Research subjects</w:t>
            </w:r>
          </w:p>
          <w:p w14:paraId="73C27C2A" w14:textId="77777777" w:rsidR="00923112" w:rsidRPr="00C970F8" w:rsidRDefault="00923112" w:rsidP="00AE5572">
            <w:pPr>
              <w:pStyle w:val="Liststycke"/>
              <w:numPr>
                <w:ilvl w:val="0"/>
                <w:numId w:val="7"/>
              </w:numPr>
              <w:spacing w:before="0" w:line="312" w:lineRule="auto"/>
              <w:rPr>
                <w:highlight w:val="yellow"/>
                <w:lang w:val="en-US"/>
              </w:rPr>
            </w:pPr>
            <w:r w:rsidRPr="00C970F8">
              <w:rPr>
                <w:i/>
                <w:iCs/>
                <w:sz w:val="22"/>
                <w:highlight w:val="yellow"/>
                <w:lang w:val="en-US"/>
              </w:rPr>
              <w:t>Next of kin/relative</w:t>
            </w:r>
          </w:p>
        </w:tc>
      </w:tr>
      <w:tr w:rsidR="00923112" w:rsidRPr="00653DE6" w14:paraId="2B7A1C4E" w14:textId="77777777" w:rsidTr="00FA5783">
        <w:trPr>
          <w:cantSplit/>
        </w:trPr>
        <w:tc>
          <w:tcPr>
            <w:tcW w:w="4531" w:type="dxa"/>
          </w:tcPr>
          <w:p w14:paraId="14A8FC3C" w14:textId="185EE80E" w:rsidR="00923112" w:rsidRPr="004E1691" w:rsidRDefault="00923112" w:rsidP="00AE5572">
            <w:pPr>
              <w:pStyle w:val="Liststycke"/>
              <w:numPr>
                <w:ilvl w:val="0"/>
                <w:numId w:val="3"/>
              </w:numPr>
              <w:spacing w:before="0" w:after="220" w:line="312" w:lineRule="auto"/>
              <w:ind w:left="317" w:hanging="288"/>
              <w:contextualSpacing w:val="0"/>
              <w:rPr>
                <w:sz w:val="22"/>
                <w:szCs w:val="22"/>
                <w:lang w:val="en-US"/>
              </w:rPr>
            </w:pPr>
            <w:r w:rsidRPr="004E1691">
              <w:rPr>
                <w:sz w:val="22"/>
                <w:szCs w:val="22"/>
                <w:lang w:val="en-US"/>
              </w:rPr>
              <w:t>Retention and deletion of personal data:</w:t>
            </w:r>
          </w:p>
          <w:p w14:paraId="31E1588C" w14:textId="77777777" w:rsidR="00923112" w:rsidRPr="00F61770" w:rsidRDefault="00923112" w:rsidP="00F61770">
            <w:pPr>
              <w:pStyle w:val="Liststycke"/>
              <w:numPr>
                <w:ilvl w:val="0"/>
                <w:numId w:val="30"/>
              </w:numPr>
              <w:spacing w:before="280" w:after="240" w:line="240" w:lineRule="auto"/>
              <w:rPr>
                <w:i/>
                <w:iCs/>
                <w:sz w:val="22"/>
                <w:lang w:val="en-US"/>
              </w:rPr>
            </w:pPr>
            <w:r w:rsidRPr="00F61770">
              <w:rPr>
                <w:i/>
                <w:iCs/>
                <w:sz w:val="22"/>
                <w:lang w:val="en-US"/>
              </w:rPr>
              <w:t>Description of the routines and guidelines that exist regarding how long the personal data will be retained after the project is completed.</w:t>
            </w:r>
          </w:p>
        </w:tc>
        <w:tc>
          <w:tcPr>
            <w:tcW w:w="4525" w:type="dxa"/>
          </w:tcPr>
          <w:p w14:paraId="2B42E70A" w14:textId="77777777" w:rsidR="00923112" w:rsidRPr="00923112" w:rsidRDefault="00923112" w:rsidP="00831993">
            <w:pPr>
              <w:spacing w:before="280" w:line="276" w:lineRule="auto"/>
              <w:rPr>
                <w:sz w:val="22"/>
                <w:lang w:val="en-US"/>
              </w:rPr>
            </w:pPr>
            <w:r w:rsidRPr="00923112">
              <w:rPr>
                <w:sz w:val="22"/>
                <w:lang w:val="en-US"/>
              </w:rPr>
              <w:t>When the research project is completed, the personal data will be handled as follows:</w:t>
            </w:r>
          </w:p>
          <w:p w14:paraId="50DC38C1" w14:textId="27EC75EC" w:rsidR="00923112" w:rsidRPr="0095567C" w:rsidRDefault="00923112" w:rsidP="00DE7822">
            <w:pPr>
              <w:spacing w:before="300" w:after="300" w:line="276" w:lineRule="auto"/>
              <w:rPr>
                <w:i/>
                <w:iCs/>
                <w:sz w:val="22"/>
                <w:highlight w:val="yellow"/>
                <w:lang w:val="en-US"/>
              </w:rPr>
            </w:pPr>
            <w:r w:rsidRPr="00923112">
              <w:rPr>
                <w:i/>
                <w:iCs/>
                <w:sz w:val="22"/>
                <w:highlight w:val="yellow"/>
                <w:lang w:val="en-US"/>
              </w:rPr>
              <w:t>[</w:t>
            </w:r>
            <w:proofErr w:type="gramStart"/>
            <w:r w:rsidRPr="00923112">
              <w:rPr>
                <w:i/>
                <w:iCs/>
                <w:sz w:val="22"/>
                <w:highlight w:val="yellow"/>
                <w:lang w:val="en-US"/>
              </w:rPr>
              <w:t>…..</w:t>
            </w:r>
            <w:proofErr w:type="gramEnd"/>
            <w:r w:rsidRPr="00923112">
              <w:rPr>
                <w:i/>
                <w:iCs/>
                <w:sz w:val="22"/>
                <w:highlight w:val="yellow"/>
                <w:lang w:val="en-US"/>
              </w:rPr>
              <w:t>in what way they will be preserved and if so how long or when they will be deleted. Such deletion can be achieved either by erasing the personal data or completely de-identifying the same.]</w:t>
            </w:r>
          </w:p>
        </w:tc>
      </w:tr>
    </w:tbl>
    <w:p w14:paraId="069CAE29" w14:textId="77777777" w:rsidR="00923112" w:rsidRPr="00923112" w:rsidRDefault="00923112" w:rsidP="00923112">
      <w:pPr>
        <w:spacing w:before="0" w:line="276" w:lineRule="auto"/>
        <w:rPr>
          <w:sz w:val="20"/>
          <w:szCs w:val="20"/>
          <w:lang w:val="en-US"/>
        </w:rPr>
      </w:pPr>
      <w:r w:rsidRPr="00923112">
        <w:rPr>
          <w:sz w:val="20"/>
          <w:szCs w:val="20"/>
          <w:lang w:val="en-US"/>
        </w:rPr>
        <w:br w:type="page"/>
      </w:r>
    </w:p>
    <w:p w14:paraId="6E838CE7" w14:textId="572B7542" w:rsidR="00923112" w:rsidRPr="00922DCC" w:rsidRDefault="00923112" w:rsidP="008F78F4">
      <w:pPr>
        <w:pStyle w:val="Rubrik2"/>
        <w:numPr>
          <w:ilvl w:val="0"/>
          <w:numId w:val="0"/>
        </w:numPr>
        <w:spacing w:after="140"/>
        <w:rPr>
          <w:rFonts w:asciiTheme="majorHAnsi" w:hAnsiTheme="majorHAnsi" w:cstheme="majorHAnsi"/>
          <w:sz w:val="32"/>
          <w:szCs w:val="32"/>
          <w:lang w:val="en-US"/>
        </w:rPr>
      </w:pPr>
      <w:bookmarkStart w:id="65" w:name="_Bilaga_3_–"/>
      <w:bookmarkStart w:id="66" w:name="_Toc103014336"/>
      <w:bookmarkStart w:id="67" w:name="_Toc105656748"/>
      <w:bookmarkStart w:id="68" w:name="_Toc112701964"/>
      <w:bookmarkEnd w:id="65"/>
      <w:r w:rsidRPr="00922DCC">
        <w:rPr>
          <w:rFonts w:asciiTheme="majorHAnsi" w:hAnsiTheme="majorHAnsi" w:cstheme="majorHAnsi"/>
          <w:sz w:val="32"/>
          <w:szCs w:val="32"/>
          <w:lang w:val="en-US"/>
        </w:rPr>
        <w:lastRenderedPageBreak/>
        <w:t>Appendix 3 – Management of data subjects' rights</w:t>
      </w:r>
      <w:bookmarkEnd w:id="66"/>
      <w:bookmarkEnd w:id="67"/>
      <w:bookmarkEnd w:id="68"/>
    </w:p>
    <w:p w14:paraId="47C16CC8" w14:textId="77777777" w:rsidR="00923112" w:rsidRPr="0025734B" w:rsidRDefault="00923112" w:rsidP="0025734B">
      <w:pPr>
        <w:pStyle w:val="Rubrik3"/>
      </w:pPr>
      <w:r w:rsidRPr="0025734B">
        <w:t>Contact point for data subjects</w:t>
      </w:r>
    </w:p>
    <w:p w14:paraId="0F14918D" w14:textId="77777777" w:rsidR="00923112" w:rsidRPr="0060741C" w:rsidRDefault="00923112" w:rsidP="00BE54CD">
      <w:pPr>
        <w:pStyle w:val="Liststycke"/>
        <w:numPr>
          <w:ilvl w:val="1"/>
          <w:numId w:val="9"/>
        </w:numPr>
        <w:tabs>
          <w:tab w:val="left" w:pos="1080"/>
        </w:tabs>
        <w:adjustRightInd w:val="0"/>
        <w:spacing w:before="0" w:after="300" w:line="240" w:lineRule="auto"/>
        <w:ind w:left="922" w:right="-202" w:hanging="360"/>
        <w:contextualSpacing w:val="0"/>
        <w:rPr>
          <w:sz w:val="22"/>
          <w:highlight w:val="yellow"/>
          <w:lang w:val="en-US"/>
        </w:rPr>
      </w:pPr>
      <w:r w:rsidRPr="0060741C">
        <w:rPr>
          <w:sz w:val="22"/>
          <w:highlight w:val="yellow"/>
          <w:lang w:val="en-US"/>
        </w:rPr>
        <w:t>The Parties has chosen not to appoint a joint contact point for data subjects’ rights.</w:t>
      </w:r>
    </w:p>
    <w:p w14:paraId="30420B87" w14:textId="77777777" w:rsidR="00923112" w:rsidRPr="0060741C" w:rsidRDefault="00923112" w:rsidP="007B6DC8">
      <w:pPr>
        <w:pStyle w:val="Liststycke"/>
        <w:numPr>
          <w:ilvl w:val="1"/>
          <w:numId w:val="9"/>
        </w:numPr>
        <w:tabs>
          <w:tab w:val="left" w:pos="1080"/>
        </w:tabs>
        <w:adjustRightInd w:val="0"/>
        <w:spacing w:before="0" w:after="300" w:line="240" w:lineRule="auto"/>
        <w:ind w:left="1080" w:right="-198" w:hanging="518"/>
        <w:contextualSpacing w:val="0"/>
        <w:rPr>
          <w:sz w:val="22"/>
          <w:highlight w:val="yellow"/>
          <w:lang w:val="en-US"/>
        </w:rPr>
      </w:pPr>
      <w:r w:rsidRPr="0060741C">
        <w:rPr>
          <w:sz w:val="22"/>
          <w:highlight w:val="yellow"/>
          <w:lang w:val="en-US"/>
        </w:rPr>
        <w:t>The Parties have chosen to appoint [Party #] as a joint contact point for data subjects with the following contact information.</w:t>
      </w:r>
    </w:p>
    <w:p w14:paraId="3B04CCB0" w14:textId="77777777" w:rsidR="00923112" w:rsidRPr="00675F6C" w:rsidRDefault="00923112" w:rsidP="0025734B">
      <w:pPr>
        <w:pStyle w:val="Rubrik3"/>
        <w:spacing w:before="480"/>
      </w:pPr>
      <w:r w:rsidRPr="00675F6C">
        <w:t>Data subjects’ rights</w:t>
      </w:r>
    </w:p>
    <w:p w14:paraId="5E019ED4" w14:textId="77777777" w:rsidR="00923112" w:rsidRPr="006D47FD" w:rsidRDefault="00923112" w:rsidP="00832265">
      <w:pPr>
        <w:pStyle w:val="Liststycke"/>
        <w:numPr>
          <w:ilvl w:val="1"/>
          <w:numId w:val="8"/>
        </w:numPr>
        <w:tabs>
          <w:tab w:val="left" w:pos="1044"/>
        </w:tabs>
        <w:spacing w:before="480" w:after="500" w:line="240" w:lineRule="auto"/>
        <w:ind w:left="979" w:right="-378"/>
        <w:contextualSpacing w:val="0"/>
        <w:rPr>
          <w:sz w:val="22"/>
          <w:lang w:val="en-US"/>
        </w:rPr>
      </w:pPr>
      <w:r w:rsidRPr="006D47FD">
        <w:rPr>
          <w:sz w:val="22"/>
          <w:lang w:val="en-US"/>
        </w:rPr>
        <w:t>The parties agree that they are jointly and severally liable for the rights of the data subjects. Regardless of this, the parties have chosen to make a division between themselves as follows as to which of the Parties that has the main practical responsibility to handle issues concerning the data subjects' rights.</w:t>
      </w:r>
    </w:p>
    <w:tbl>
      <w:tblPr>
        <w:tblStyle w:val="Tabellrutnt"/>
        <w:tblW w:w="0" w:type="auto"/>
        <w:tblCellMar>
          <w:top w:w="28" w:type="dxa"/>
          <w:bottom w:w="28" w:type="dxa"/>
        </w:tblCellMar>
        <w:tblLook w:val="04A0" w:firstRow="1" w:lastRow="0" w:firstColumn="1" w:lastColumn="0" w:noHBand="0" w:noVBand="1"/>
        <w:tblDescription w:val="A table with two columns: Right; Division of practical responsibilities between Parties. Some examples of the information provided in the table is: Ensure that information to data subjects is provided in accordance with Articles 12-14 of the GDPR; Ensure that obtained informed consents are&#10;handled in a correct manner and that data subjects have been given sufficient information for consents to be considered given correctly."/>
      </w:tblPr>
      <w:tblGrid>
        <w:gridCol w:w="4528"/>
        <w:gridCol w:w="4528"/>
      </w:tblGrid>
      <w:tr w:rsidR="00923112" w:rsidRPr="00653DE6" w14:paraId="7421D9BB" w14:textId="77777777" w:rsidTr="006C1CCA">
        <w:trPr>
          <w:cantSplit/>
        </w:trPr>
        <w:tc>
          <w:tcPr>
            <w:tcW w:w="4528" w:type="dxa"/>
          </w:tcPr>
          <w:p w14:paraId="7F79B7EE" w14:textId="77777777" w:rsidR="00923112" w:rsidRPr="00923112" w:rsidRDefault="00923112" w:rsidP="00923112">
            <w:pPr>
              <w:spacing w:before="0" w:line="276" w:lineRule="auto"/>
              <w:rPr>
                <w:b/>
                <w:bCs/>
                <w:sz w:val="22"/>
                <w:lang w:val="en-US"/>
              </w:rPr>
            </w:pPr>
            <w:r w:rsidRPr="00923112">
              <w:rPr>
                <w:b/>
                <w:bCs/>
                <w:sz w:val="22"/>
                <w:lang w:val="en-US"/>
              </w:rPr>
              <w:t>Right</w:t>
            </w:r>
          </w:p>
        </w:tc>
        <w:tc>
          <w:tcPr>
            <w:tcW w:w="4528" w:type="dxa"/>
          </w:tcPr>
          <w:p w14:paraId="30B03D06" w14:textId="74BBAC39" w:rsidR="00923112" w:rsidRPr="00923112" w:rsidRDefault="00923112" w:rsidP="002C168E">
            <w:pPr>
              <w:spacing w:before="0" w:after="280" w:line="276" w:lineRule="auto"/>
              <w:rPr>
                <w:b/>
                <w:bCs/>
                <w:sz w:val="22"/>
                <w:lang w:val="en-US"/>
              </w:rPr>
            </w:pPr>
            <w:r w:rsidRPr="00923112">
              <w:rPr>
                <w:b/>
                <w:bCs/>
                <w:sz w:val="22"/>
                <w:lang w:val="en-US"/>
              </w:rPr>
              <w:t>Division of practical responsibilities between Parties</w:t>
            </w:r>
          </w:p>
        </w:tc>
      </w:tr>
      <w:tr w:rsidR="00923112" w:rsidRPr="00653DE6" w14:paraId="10827B3C" w14:textId="77777777" w:rsidTr="006C1CCA">
        <w:trPr>
          <w:cantSplit/>
        </w:trPr>
        <w:tc>
          <w:tcPr>
            <w:tcW w:w="4528" w:type="dxa"/>
          </w:tcPr>
          <w:p w14:paraId="51AAD0DF" w14:textId="77777777" w:rsidR="00923112" w:rsidRPr="00923112" w:rsidRDefault="00923112" w:rsidP="00923112">
            <w:pPr>
              <w:spacing w:before="0" w:line="276" w:lineRule="auto"/>
              <w:rPr>
                <w:sz w:val="22"/>
                <w:lang w:val="en-US"/>
              </w:rPr>
            </w:pPr>
            <w:r w:rsidRPr="00923112">
              <w:rPr>
                <w:sz w:val="22"/>
                <w:lang w:val="en-US"/>
              </w:rPr>
              <w:t>Ensure that information to data subjects is provided in accordance with Articles 12-14 of the GDPR.</w:t>
            </w:r>
          </w:p>
          <w:p w14:paraId="211BD142" w14:textId="77777777" w:rsidR="00923112" w:rsidRPr="00923112" w:rsidRDefault="00923112" w:rsidP="00923112">
            <w:pPr>
              <w:spacing w:before="0" w:line="276" w:lineRule="auto"/>
              <w:rPr>
                <w:sz w:val="22"/>
                <w:lang w:val="en-US"/>
              </w:rPr>
            </w:pPr>
            <w:r w:rsidRPr="00923112">
              <w:rPr>
                <w:sz w:val="22"/>
                <w:lang w:val="en-US"/>
              </w:rPr>
              <w:t>This information must be produced in [Swedish]. If this information needs to be translated into another language, the Parties shall instruct an authorized translator to carry out this translation. The parties shall jointly bear the cost of producing the information and any translation of the information.</w:t>
            </w:r>
          </w:p>
          <w:p w14:paraId="43378713" w14:textId="77777777" w:rsidR="00923112" w:rsidRPr="00923112" w:rsidRDefault="00923112" w:rsidP="00923112">
            <w:pPr>
              <w:spacing w:before="0" w:line="276" w:lineRule="auto"/>
              <w:rPr>
                <w:sz w:val="22"/>
                <w:lang w:val="en-US"/>
              </w:rPr>
            </w:pPr>
            <w:r w:rsidRPr="00923112">
              <w:rPr>
                <w:sz w:val="22"/>
                <w:lang w:val="en-US"/>
              </w:rPr>
              <w:t>The information shall clearly indicate</w:t>
            </w:r>
          </w:p>
          <w:p w14:paraId="4445C349" w14:textId="40D9B17D" w:rsidR="00923112" w:rsidRPr="007F0C1C" w:rsidRDefault="00923112" w:rsidP="008A08DC">
            <w:pPr>
              <w:pStyle w:val="Liststycke"/>
              <w:numPr>
                <w:ilvl w:val="0"/>
                <w:numId w:val="15"/>
              </w:numPr>
              <w:tabs>
                <w:tab w:val="left" w:pos="288"/>
              </w:tabs>
              <w:spacing w:before="0" w:line="276" w:lineRule="auto"/>
              <w:ind w:left="0" w:firstLine="0"/>
              <w:rPr>
                <w:sz w:val="22"/>
                <w:lang w:val="en-US"/>
              </w:rPr>
            </w:pPr>
            <w:r w:rsidRPr="007F0C1C">
              <w:rPr>
                <w:sz w:val="22"/>
                <w:lang w:val="en-US"/>
              </w:rPr>
              <w:t xml:space="preserve">that the Parties are jointly controllers for the Processing of personal </w:t>
            </w:r>
            <w:proofErr w:type="gramStart"/>
            <w:r w:rsidRPr="007F0C1C">
              <w:rPr>
                <w:sz w:val="22"/>
                <w:lang w:val="en-US"/>
              </w:rPr>
              <w:t>data;</w:t>
            </w:r>
            <w:proofErr w:type="gramEnd"/>
          </w:p>
          <w:p w14:paraId="4361AA20" w14:textId="7A7AD788" w:rsidR="00923112" w:rsidRPr="007F0C1C" w:rsidRDefault="00923112" w:rsidP="00AE5572">
            <w:pPr>
              <w:pStyle w:val="Liststycke"/>
              <w:numPr>
                <w:ilvl w:val="0"/>
                <w:numId w:val="15"/>
              </w:numPr>
              <w:tabs>
                <w:tab w:val="left" w:pos="403"/>
              </w:tabs>
              <w:spacing w:before="0" w:line="276" w:lineRule="auto"/>
              <w:ind w:left="0" w:firstLine="0"/>
              <w:rPr>
                <w:sz w:val="22"/>
                <w:lang w:val="en-US"/>
              </w:rPr>
            </w:pPr>
            <w:r w:rsidRPr="007F0C1C">
              <w:rPr>
                <w:sz w:val="22"/>
                <w:lang w:val="en-US"/>
              </w:rPr>
              <w:t xml:space="preserve">the respective roles of the Parties in relation to the data </w:t>
            </w:r>
            <w:proofErr w:type="gramStart"/>
            <w:r w:rsidRPr="007F0C1C">
              <w:rPr>
                <w:sz w:val="22"/>
                <w:lang w:val="en-US"/>
              </w:rPr>
              <w:t>subject;</w:t>
            </w:r>
            <w:proofErr w:type="gramEnd"/>
          </w:p>
          <w:p w14:paraId="14C868F7" w14:textId="55AB756A" w:rsidR="00923112" w:rsidRPr="007F0C1C" w:rsidRDefault="00923112" w:rsidP="00AE5572">
            <w:pPr>
              <w:pStyle w:val="Liststycke"/>
              <w:numPr>
                <w:ilvl w:val="0"/>
                <w:numId w:val="15"/>
              </w:numPr>
              <w:tabs>
                <w:tab w:val="left" w:pos="403"/>
              </w:tabs>
              <w:spacing w:before="0" w:line="276" w:lineRule="auto"/>
              <w:ind w:left="0" w:firstLine="0"/>
              <w:rPr>
                <w:sz w:val="22"/>
                <w:lang w:val="en-US"/>
              </w:rPr>
            </w:pPr>
            <w:r w:rsidRPr="007F0C1C">
              <w:rPr>
                <w:sz w:val="22"/>
                <w:lang w:val="en-US"/>
              </w:rPr>
              <w:t>if a Party is a joint point of contact regarding the rights of data subjects, and</w:t>
            </w:r>
          </w:p>
          <w:p w14:paraId="676F8F50" w14:textId="2DC44AD6" w:rsidR="00923112" w:rsidRPr="007F0C1C" w:rsidRDefault="00923112" w:rsidP="00AE5572">
            <w:pPr>
              <w:pStyle w:val="Liststycke"/>
              <w:numPr>
                <w:ilvl w:val="0"/>
                <w:numId w:val="15"/>
              </w:numPr>
              <w:tabs>
                <w:tab w:val="left" w:pos="403"/>
              </w:tabs>
              <w:spacing w:before="0" w:line="276" w:lineRule="auto"/>
              <w:ind w:left="0" w:firstLine="0"/>
              <w:rPr>
                <w:sz w:val="22"/>
                <w:lang w:val="en-US"/>
              </w:rPr>
            </w:pPr>
            <w:r w:rsidRPr="007F0C1C">
              <w:rPr>
                <w:sz w:val="22"/>
                <w:lang w:val="en-US"/>
              </w:rPr>
              <w:t>that a data subject has the right to exercise his or her rights over and against each of the Parties</w:t>
            </w:r>
          </w:p>
        </w:tc>
        <w:tc>
          <w:tcPr>
            <w:tcW w:w="4528" w:type="dxa"/>
          </w:tcPr>
          <w:p w14:paraId="6BF77CFA" w14:textId="7F279381" w:rsidR="00923112" w:rsidRPr="00923112" w:rsidRDefault="00923112" w:rsidP="00923112">
            <w:pPr>
              <w:spacing w:before="0" w:line="276" w:lineRule="auto"/>
              <w:rPr>
                <w:i/>
                <w:iCs/>
                <w:sz w:val="22"/>
                <w:lang w:val="en-US"/>
              </w:rPr>
            </w:pPr>
            <w:r w:rsidRPr="00923112">
              <w:rPr>
                <w:i/>
                <w:iCs/>
                <w:sz w:val="22"/>
                <w:lang w:val="en-US"/>
              </w:rPr>
              <w:t>Specify the division, if any, the Parties choose to apply about what Party is to ensure that the information is communicated to the data subjects no later than in connection with the commencement of processing.</w:t>
            </w:r>
          </w:p>
        </w:tc>
      </w:tr>
      <w:tr w:rsidR="00923112" w:rsidRPr="00653DE6" w14:paraId="0C1E2698" w14:textId="77777777" w:rsidTr="006C1CCA">
        <w:trPr>
          <w:cantSplit/>
        </w:trPr>
        <w:tc>
          <w:tcPr>
            <w:tcW w:w="4528" w:type="dxa"/>
          </w:tcPr>
          <w:p w14:paraId="78BE5C60" w14:textId="77777777" w:rsidR="00923112" w:rsidRPr="00923112" w:rsidRDefault="00923112" w:rsidP="00923112">
            <w:pPr>
              <w:spacing w:before="0" w:line="276" w:lineRule="auto"/>
              <w:rPr>
                <w:sz w:val="22"/>
                <w:lang w:val="en-US"/>
              </w:rPr>
            </w:pPr>
            <w:r w:rsidRPr="00923112">
              <w:rPr>
                <w:sz w:val="22"/>
                <w:lang w:val="en-US"/>
              </w:rPr>
              <w:lastRenderedPageBreak/>
              <w:t>Ensure that obtained informed consents are handled in a correct manner and that data subjects have been given sufficient information for consents to be considered given correctly.</w:t>
            </w:r>
          </w:p>
          <w:p w14:paraId="39EAB5D4" w14:textId="77777777" w:rsidR="00923112" w:rsidRPr="00923112" w:rsidRDefault="00923112" w:rsidP="00923112">
            <w:pPr>
              <w:spacing w:before="0" w:line="276" w:lineRule="auto"/>
              <w:rPr>
                <w:sz w:val="22"/>
                <w:lang w:val="en-US"/>
              </w:rPr>
            </w:pPr>
            <w:r w:rsidRPr="00923112">
              <w:rPr>
                <w:sz w:val="22"/>
                <w:lang w:val="en-US"/>
              </w:rPr>
              <w:t>( consents refer to the consents that the research project must provide in accordance with the Ethics Review Authority's approval)</w:t>
            </w:r>
          </w:p>
        </w:tc>
        <w:tc>
          <w:tcPr>
            <w:tcW w:w="4528" w:type="dxa"/>
          </w:tcPr>
          <w:p w14:paraId="6353422A" w14:textId="23D4A5C7" w:rsidR="00923112" w:rsidRPr="00066C42" w:rsidRDefault="00923112" w:rsidP="00066C42">
            <w:pPr>
              <w:spacing w:before="0" w:line="276" w:lineRule="auto"/>
              <w:rPr>
                <w:i/>
                <w:iCs/>
                <w:sz w:val="22"/>
                <w:lang w:val="en-US"/>
              </w:rPr>
            </w:pPr>
            <w:r w:rsidRPr="00923112">
              <w:rPr>
                <w:i/>
                <w:iCs/>
                <w:sz w:val="22"/>
                <w:lang w:val="en-US"/>
              </w:rPr>
              <w:t>Specify the division, if any, of duties between the Parties regarding which of them that shall ensure that consents are obtained and handled correctly.</w:t>
            </w:r>
          </w:p>
        </w:tc>
      </w:tr>
      <w:tr w:rsidR="00923112" w:rsidRPr="00653DE6" w14:paraId="1E0CEA23" w14:textId="77777777" w:rsidTr="006C1CCA">
        <w:trPr>
          <w:cantSplit/>
        </w:trPr>
        <w:tc>
          <w:tcPr>
            <w:tcW w:w="4528" w:type="dxa"/>
          </w:tcPr>
          <w:p w14:paraId="7BBB46D1" w14:textId="77777777" w:rsidR="00923112" w:rsidRPr="00923112" w:rsidRDefault="00923112" w:rsidP="00923112">
            <w:pPr>
              <w:spacing w:before="0" w:line="276" w:lineRule="auto"/>
              <w:rPr>
                <w:sz w:val="22"/>
                <w:lang w:val="en-US"/>
              </w:rPr>
            </w:pPr>
            <w:r w:rsidRPr="00923112">
              <w:rPr>
                <w:sz w:val="22"/>
                <w:lang w:val="en-US"/>
              </w:rPr>
              <w:t>Ensure that data subjects can exercise their rights according to article 15-18 GDPR</w:t>
            </w:r>
          </w:p>
          <w:p w14:paraId="5A98C991" w14:textId="710EE842" w:rsidR="00923112" w:rsidRPr="007F0C1C" w:rsidRDefault="00923112" w:rsidP="00AE5572">
            <w:pPr>
              <w:pStyle w:val="Liststycke"/>
              <w:numPr>
                <w:ilvl w:val="0"/>
                <w:numId w:val="16"/>
              </w:numPr>
              <w:tabs>
                <w:tab w:val="left" w:pos="144"/>
              </w:tabs>
              <w:spacing w:before="0" w:line="276" w:lineRule="auto"/>
              <w:ind w:left="0" w:firstLine="0"/>
              <w:rPr>
                <w:sz w:val="22"/>
                <w:lang w:val="en-US"/>
              </w:rPr>
            </w:pPr>
            <w:r w:rsidRPr="007F0C1C">
              <w:rPr>
                <w:sz w:val="22"/>
                <w:lang w:val="en-US"/>
              </w:rPr>
              <w:t>Information and access</w:t>
            </w:r>
          </w:p>
          <w:p w14:paraId="3279B371" w14:textId="63F1207D" w:rsidR="00923112" w:rsidRPr="007F0C1C" w:rsidRDefault="00923112" w:rsidP="00AE5572">
            <w:pPr>
              <w:pStyle w:val="Liststycke"/>
              <w:numPr>
                <w:ilvl w:val="0"/>
                <w:numId w:val="16"/>
              </w:numPr>
              <w:tabs>
                <w:tab w:val="left" w:pos="144"/>
              </w:tabs>
              <w:spacing w:before="0" w:line="276" w:lineRule="auto"/>
              <w:ind w:left="0" w:firstLine="0"/>
              <w:rPr>
                <w:sz w:val="22"/>
                <w:lang w:val="en-US"/>
              </w:rPr>
            </w:pPr>
            <w:r w:rsidRPr="007F0C1C">
              <w:rPr>
                <w:sz w:val="22"/>
                <w:lang w:val="en-US"/>
              </w:rPr>
              <w:t>Rectification</w:t>
            </w:r>
          </w:p>
          <w:p w14:paraId="01E5C1E2" w14:textId="347846A2" w:rsidR="00923112" w:rsidRPr="007F0C1C" w:rsidRDefault="00923112" w:rsidP="00AE5572">
            <w:pPr>
              <w:pStyle w:val="Liststycke"/>
              <w:numPr>
                <w:ilvl w:val="0"/>
                <w:numId w:val="16"/>
              </w:numPr>
              <w:tabs>
                <w:tab w:val="left" w:pos="144"/>
              </w:tabs>
              <w:spacing w:before="0" w:line="276" w:lineRule="auto"/>
              <w:ind w:left="0" w:firstLine="0"/>
              <w:rPr>
                <w:sz w:val="22"/>
                <w:lang w:val="en-US"/>
              </w:rPr>
            </w:pPr>
            <w:r w:rsidRPr="007F0C1C">
              <w:rPr>
                <w:sz w:val="22"/>
                <w:lang w:val="en-US"/>
              </w:rPr>
              <w:t>Erasure</w:t>
            </w:r>
          </w:p>
          <w:p w14:paraId="664BA7AF" w14:textId="053A8BEC" w:rsidR="00923112" w:rsidRPr="007F0C1C" w:rsidRDefault="00923112" w:rsidP="00AE5572">
            <w:pPr>
              <w:pStyle w:val="Liststycke"/>
              <w:numPr>
                <w:ilvl w:val="0"/>
                <w:numId w:val="16"/>
              </w:numPr>
              <w:tabs>
                <w:tab w:val="left" w:pos="144"/>
              </w:tabs>
              <w:spacing w:before="0" w:line="276" w:lineRule="auto"/>
              <w:ind w:left="0" w:firstLine="0"/>
              <w:rPr>
                <w:sz w:val="22"/>
                <w:lang w:val="en-US"/>
              </w:rPr>
            </w:pPr>
            <w:r w:rsidRPr="007F0C1C">
              <w:rPr>
                <w:sz w:val="22"/>
                <w:lang w:val="en-US"/>
              </w:rPr>
              <w:t>Objection</w:t>
            </w:r>
          </w:p>
          <w:p w14:paraId="7F6CC156" w14:textId="321692C2" w:rsidR="00923112" w:rsidRPr="007F0C1C" w:rsidRDefault="00923112" w:rsidP="00AE5572">
            <w:pPr>
              <w:pStyle w:val="Liststycke"/>
              <w:numPr>
                <w:ilvl w:val="0"/>
                <w:numId w:val="16"/>
              </w:numPr>
              <w:tabs>
                <w:tab w:val="left" w:pos="144"/>
              </w:tabs>
              <w:spacing w:before="0" w:line="276" w:lineRule="auto"/>
              <w:ind w:left="0" w:firstLine="0"/>
              <w:rPr>
                <w:sz w:val="22"/>
                <w:lang w:val="en-US"/>
              </w:rPr>
            </w:pPr>
            <w:r w:rsidRPr="007F0C1C">
              <w:rPr>
                <w:sz w:val="22"/>
                <w:lang w:val="en-US"/>
              </w:rPr>
              <w:t>Restriction</w:t>
            </w:r>
          </w:p>
        </w:tc>
        <w:tc>
          <w:tcPr>
            <w:tcW w:w="4528" w:type="dxa"/>
          </w:tcPr>
          <w:p w14:paraId="0A41EC24" w14:textId="77777777" w:rsidR="00923112" w:rsidRPr="00923112" w:rsidRDefault="00923112" w:rsidP="00923112">
            <w:pPr>
              <w:spacing w:before="0" w:line="276" w:lineRule="auto"/>
              <w:rPr>
                <w:sz w:val="22"/>
                <w:lang w:val="en-US"/>
              </w:rPr>
            </w:pPr>
            <w:r w:rsidRPr="00923112">
              <w:rPr>
                <w:i/>
                <w:iCs/>
                <w:sz w:val="22"/>
                <w:lang w:val="en-US"/>
              </w:rPr>
              <w:t>Specify the division, if any, between the Parties regarding which of them that is responsible for managing the data subjects’ various rights.</w:t>
            </w:r>
          </w:p>
        </w:tc>
      </w:tr>
      <w:tr w:rsidR="00923112" w:rsidRPr="00653DE6" w14:paraId="1831B26A" w14:textId="77777777" w:rsidTr="006C1CCA">
        <w:trPr>
          <w:cantSplit/>
        </w:trPr>
        <w:tc>
          <w:tcPr>
            <w:tcW w:w="4528" w:type="dxa"/>
          </w:tcPr>
          <w:p w14:paraId="707EF802" w14:textId="77777777" w:rsidR="00923112" w:rsidRPr="00923112" w:rsidRDefault="00923112" w:rsidP="00923112">
            <w:pPr>
              <w:spacing w:before="0" w:line="276" w:lineRule="auto"/>
              <w:rPr>
                <w:sz w:val="22"/>
                <w:lang w:val="en-US"/>
              </w:rPr>
            </w:pPr>
            <w:r w:rsidRPr="00923112">
              <w:rPr>
                <w:sz w:val="22"/>
                <w:lang w:val="en-US"/>
              </w:rPr>
              <w:t>Ensure that data subjects can exercise their rights according to article 20 GDPR</w:t>
            </w:r>
          </w:p>
          <w:p w14:paraId="01608CD9" w14:textId="1388ECA5" w:rsidR="00923112" w:rsidRPr="007F0C1C" w:rsidRDefault="00923112" w:rsidP="00AE5572">
            <w:pPr>
              <w:pStyle w:val="Liststycke"/>
              <w:numPr>
                <w:ilvl w:val="0"/>
                <w:numId w:val="17"/>
              </w:numPr>
              <w:tabs>
                <w:tab w:val="left" w:pos="144"/>
              </w:tabs>
              <w:spacing w:before="400" w:line="276" w:lineRule="auto"/>
              <w:ind w:left="0" w:firstLine="0"/>
              <w:contextualSpacing w:val="0"/>
              <w:rPr>
                <w:sz w:val="22"/>
                <w:lang w:val="en-US"/>
              </w:rPr>
            </w:pPr>
            <w:r w:rsidRPr="007F0C1C">
              <w:rPr>
                <w:sz w:val="22"/>
                <w:lang w:val="en-US"/>
              </w:rPr>
              <w:t>Right to data portability</w:t>
            </w:r>
          </w:p>
        </w:tc>
        <w:tc>
          <w:tcPr>
            <w:tcW w:w="4528" w:type="dxa"/>
          </w:tcPr>
          <w:p w14:paraId="700822C4" w14:textId="77777777" w:rsidR="00923112" w:rsidRPr="00923112" w:rsidRDefault="00923112" w:rsidP="00923112">
            <w:pPr>
              <w:spacing w:before="0" w:line="276" w:lineRule="auto"/>
              <w:rPr>
                <w:sz w:val="22"/>
                <w:lang w:val="en-US"/>
              </w:rPr>
            </w:pPr>
            <w:r w:rsidRPr="00923112">
              <w:rPr>
                <w:i/>
                <w:iCs/>
                <w:sz w:val="22"/>
                <w:lang w:val="en-US"/>
              </w:rPr>
              <w:t>Specify the division, if any, between the Parties regarding which of them that is responsible for managing the data subjects right to data portability.</w:t>
            </w:r>
          </w:p>
          <w:p w14:paraId="032AB36B" w14:textId="77777777" w:rsidR="00923112" w:rsidRPr="00923112" w:rsidRDefault="00923112" w:rsidP="00923112">
            <w:pPr>
              <w:spacing w:before="0" w:line="276" w:lineRule="auto"/>
              <w:rPr>
                <w:sz w:val="22"/>
                <w:lang w:val="en-US"/>
              </w:rPr>
            </w:pPr>
            <w:r w:rsidRPr="00923112">
              <w:rPr>
                <w:i/>
                <w:iCs/>
                <w:sz w:val="22"/>
                <w:lang w:val="en-US"/>
              </w:rPr>
              <w:t>Note that data portability is a right that is only applicable if the legal basis for the processing is the data subjects’ consent (or necessary for the performance of a contract) neither of which is normally the legal basis for processing personal data within scientific research.</w:t>
            </w:r>
          </w:p>
        </w:tc>
      </w:tr>
    </w:tbl>
    <w:p w14:paraId="345D3E78" w14:textId="77777777" w:rsidR="00923112" w:rsidRPr="00923112" w:rsidRDefault="00923112" w:rsidP="00923112">
      <w:pPr>
        <w:spacing w:before="0" w:line="276" w:lineRule="auto"/>
        <w:rPr>
          <w:b/>
          <w:bCs/>
          <w:sz w:val="22"/>
          <w:lang w:val="en-US"/>
        </w:rPr>
      </w:pPr>
      <w:r w:rsidRPr="00923112">
        <w:rPr>
          <w:b/>
          <w:bCs/>
          <w:sz w:val="22"/>
          <w:lang w:val="en-US"/>
        </w:rPr>
        <w:br w:type="page"/>
      </w:r>
    </w:p>
    <w:p w14:paraId="78323ECF" w14:textId="77777777" w:rsidR="00923112" w:rsidRPr="00922DCC" w:rsidRDefault="00923112" w:rsidP="001D2BFE">
      <w:pPr>
        <w:pStyle w:val="Rubrik2"/>
        <w:numPr>
          <w:ilvl w:val="0"/>
          <w:numId w:val="0"/>
        </w:numPr>
        <w:spacing w:after="160"/>
        <w:rPr>
          <w:rFonts w:asciiTheme="majorHAnsi" w:hAnsiTheme="majorHAnsi" w:cstheme="majorHAnsi"/>
          <w:sz w:val="32"/>
          <w:szCs w:val="32"/>
          <w:lang w:val="en-US"/>
        </w:rPr>
      </w:pPr>
      <w:bookmarkStart w:id="69" w:name="_Toc103014337"/>
      <w:bookmarkStart w:id="70" w:name="_Toc105656749"/>
      <w:bookmarkStart w:id="71" w:name="_Toc112701965"/>
      <w:bookmarkStart w:id="72" w:name="_Hlk94617471"/>
      <w:r w:rsidRPr="00922DCC">
        <w:rPr>
          <w:rFonts w:asciiTheme="majorHAnsi" w:hAnsiTheme="majorHAnsi" w:cstheme="majorHAnsi"/>
          <w:sz w:val="32"/>
          <w:szCs w:val="32"/>
          <w:lang w:val="en-US"/>
        </w:rPr>
        <w:lastRenderedPageBreak/>
        <w:t>Appendix 4 – Technical and organizational security measures</w:t>
      </w:r>
      <w:bookmarkEnd w:id="69"/>
      <w:bookmarkEnd w:id="70"/>
      <w:bookmarkEnd w:id="71"/>
      <w:r w:rsidRPr="00922DCC">
        <w:rPr>
          <w:rFonts w:asciiTheme="majorHAnsi" w:hAnsiTheme="majorHAnsi" w:cstheme="majorHAnsi"/>
          <w:sz w:val="32"/>
          <w:szCs w:val="32"/>
          <w:lang w:val="en-US"/>
        </w:rPr>
        <w:t xml:space="preserve"> </w:t>
      </w:r>
    </w:p>
    <w:p w14:paraId="3AA07466" w14:textId="77777777" w:rsidR="00923112" w:rsidRPr="00923112" w:rsidRDefault="00923112" w:rsidP="00923112">
      <w:pPr>
        <w:spacing w:before="0" w:line="276" w:lineRule="auto"/>
        <w:rPr>
          <w:sz w:val="22"/>
          <w:lang w:val="en-US"/>
        </w:rPr>
      </w:pPr>
      <w:r w:rsidRPr="00923112">
        <w:rPr>
          <w:sz w:val="22"/>
          <w:lang w:val="en-US"/>
        </w:rPr>
        <w:t>The parties note that the requirements set out below are a minimum for the current processing of personal data and that these requirements are therefore also applied and fulfilled by all the Parties responsible for personal data.</w:t>
      </w:r>
    </w:p>
    <w:p w14:paraId="389E47CB" w14:textId="77777777" w:rsidR="00923112" w:rsidRPr="00923112" w:rsidRDefault="00923112" w:rsidP="008D777A">
      <w:pPr>
        <w:spacing w:before="0" w:after="460" w:line="276" w:lineRule="auto"/>
        <w:rPr>
          <w:sz w:val="22"/>
          <w:lang w:val="en-US"/>
        </w:rPr>
      </w:pPr>
      <w:r w:rsidRPr="00923112">
        <w:rPr>
          <w:sz w:val="22"/>
          <w:lang w:val="en-US"/>
        </w:rPr>
        <w:t>The respective Parties of the joint personal data controllership confirm by entering into this agreement that in their processing of personal data relevant to the agreement, they apply all of the following technical and organizational security measures and thus comply with Article 32 of the GDPR.</w:t>
      </w:r>
    </w:p>
    <w:p w14:paraId="2B350F50" w14:textId="77777777" w:rsidR="00923112" w:rsidRPr="00BB120A" w:rsidRDefault="00923112" w:rsidP="00BB120A">
      <w:pPr>
        <w:pStyle w:val="Rubrik3"/>
        <w:numPr>
          <w:ilvl w:val="0"/>
          <w:numId w:val="21"/>
        </w:numPr>
      </w:pPr>
      <w:r w:rsidRPr="00BB120A">
        <w:t>Management system for information security</w:t>
      </w:r>
    </w:p>
    <w:p w14:paraId="2D993E5D" w14:textId="77777777" w:rsidR="00923112" w:rsidRPr="00347181" w:rsidRDefault="00923112" w:rsidP="00AE5572">
      <w:pPr>
        <w:pStyle w:val="Liststycke"/>
        <w:numPr>
          <w:ilvl w:val="1"/>
          <w:numId w:val="18"/>
        </w:numPr>
        <w:spacing w:before="0" w:after="240" w:line="240" w:lineRule="auto"/>
        <w:ind w:left="922" w:hanging="360"/>
        <w:contextualSpacing w:val="0"/>
        <w:rPr>
          <w:sz w:val="22"/>
          <w:lang w:val="en-US"/>
        </w:rPr>
      </w:pPr>
      <w:r w:rsidRPr="00347181">
        <w:rPr>
          <w:sz w:val="22"/>
          <w:lang w:val="en-US"/>
        </w:rPr>
        <w:t>Each Party shall, through a management system, ensure that:</w:t>
      </w:r>
    </w:p>
    <w:p w14:paraId="6AFA4881" w14:textId="77777777" w:rsidR="00923112" w:rsidRPr="00C73725" w:rsidRDefault="00923112" w:rsidP="00AE5572">
      <w:pPr>
        <w:pStyle w:val="Liststycke"/>
        <w:numPr>
          <w:ilvl w:val="2"/>
          <w:numId w:val="19"/>
        </w:numPr>
        <w:spacing w:before="0" w:after="240" w:line="240" w:lineRule="auto"/>
        <w:ind w:left="1282" w:hanging="360"/>
        <w:contextualSpacing w:val="0"/>
        <w:rPr>
          <w:color w:val="000000" w:themeColor="text1"/>
          <w:sz w:val="22"/>
          <w:lang w:val="en-US"/>
        </w:rPr>
      </w:pPr>
      <w:r w:rsidRPr="00C73725">
        <w:rPr>
          <w:sz w:val="22"/>
          <w:lang w:val="en-US"/>
        </w:rPr>
        <w:t>documented personal data of the Party is accessible and useful to the person authorized (</w:t>
      </w:r>
      <w:r w:rsidRPr="00C73725">
        <w:rPr>
          <w:i/>
          <w:iCs/>
          <w:sz w:val="22"/>
          <w:lang w:val="en-US"/>
        </w:rPr>
        <w:t>availability</w:t>
      </w:r>
      <w:r w:rsidRPr="00C73725">
        <w:rPr>
          <w:sz w:val="22"/>
          <w:lang w:val="en-US"/>
        </w:rPr>
        <w:t>)</w:t>
      </w:r>
      <w:r w:rsidRPr="00C73725">
        <w:rPr>
          <w:color w:val="000000" w:themeColor="text1"/>
          <w:sz w:val="22"/>
          <w:lang w:val="en-US"/>
        </w:rPr>
        <w:t>,</w:t>
      </w:r>
    </w:p>
    <w:p w14:paraId="1EBC6B16" w14:textId="77777777" w:rsidR="00923112" w:rsidRPr="00C73725" w:rsidRDefault="00923112" w:rsidP="00AE5572">
      <w:pPr>
        <w:pStyle w:val="Liststycke"/>
        <w:numPr>
          <w:ilvl w:val="2"/>
          <w:numId w:val="19"/>
        </w:numPr>
        <w:spacing w:before="0" w:after="240" w:line="240" w:lineRule="auto"/>
        <w:ind w:left="1282" w:hanging="360"/>
        <w:contextualSpacing w:val="0"/>
        <w:rPr>
          <w:color w:val="000000" w:themeColor="text1"/>
          <w:sz w:val="22"/>
          <w:lang w:val="en-US"/>
        </w:rPr>
      </w:pPr>
      <w:r w:rsidRPr="00C73725">
        <w:rPr>
          <w:sz w:val="22"/>
          <w:lang w:val="en-US"/>
        </w:rPr>
        <w:t>personal data is undistorted (</w:t>
      </w:r>
      <w:r w:rsidRPr="00C73725">
        <w:rPr>
          <w:i/>
          <w:iCs/>
          <w:sz w:val="22"/>
          <w:lang w:val="en-US"/>
        </w:rPr>
        <w:t>accuracy</w:t>
      </w:r>
      <w:r w:rsidRPr="00C73725">
        <w:rPr>
          <w:sz w:val="22"/>
          <w:lang w:val="en-US"/>
        </w:rPr>
        <w:t>)</w:t>
      </w:r>
      <w:r w:rsidRPr="00C73725">
        <w:rPr>
          <w:color w:val="000000" w:themeColor="text1"/>
          <w:sz w:val="22"/>
          <w:lang w:val="en-US"/>
        </w:rPr>
        <w:t>,</w:t>
      </w:r>
    </w:p>
    <w:p w14:paraId="3D64E5F6" w14:textId="77777777" w:rsidR="00923112" w:rsidRPr="00C73725" w:rsidRDefault="00923112" w:rsidP="00AE5572">
      <w:pPr>
        <w:pStyle w:val="Liststycke"/>
        <w:numPr>
          <w:ilvl w:val="2"/>
          <w:numId w:val="19"/>
        </w:numPr>
        <w:spacing w:before="0" w:after="240" w:line="240" w:lineRule="auto"/>
        <w:ind w:left="1282" w:hanging="360"/>
        <w:contextualSpacing w:val="0"/>
        <w:rPr>
          <w:color w:val="000000" w:themeColor="text1"/>
          <w:sz w:val="22"/>
          <w:lang w:val="en-US"/>
        </w:rPr>
      </w:pPr>
      <w:r w:rsidRPr="00C73725">
        <w:rPr>
          <w:sz w:val="22"/>
          <w:lang w:val="en-US"/>
        </w:rPr>
        <w:t>unauthorized persons shall not be able to access the personal data (</w:t>
      </w:r>
      <w:r w:rsidRPr="00C73725">
        <w:rPr>
          <w:i/>
          <w:iCs/>
          <w:sz w:val="22"/>
          <w:lang w:val="en-US"/>
        </w:rPr>
        <w:t>confidentiality</w:t>
      </w:r>
      <w:r w:rsidRPr="00C73725">
        <w:rPr>
          <w:sz w:val="22"/>
          <w:lang w:val="en-US"/>
        </w:rPr>
        <w:t xml:space="preserve">), </w:t>
      </w:r>
      <w:proofErr w:type="gramStart"/>
      <w:r w:rsidRPr="00C73725">
        <w:rPr>
          <w:sz w:val="22"/>
          <w:lang w:val="en-US"/>
        </w:rPr>
        <w:t>and</w:t>
      </w:r>
      <w:r w:rsidRPr="00C73725">
        <w:rPr>
          <w:color w:val="000000" w:themeColor="text1"/>
          <w:sz w:val="22"/>
          <w:lang w:val="en-US"/>
        </w:rPr>
        <w:t>;</w:t>
      </w:r>
      <w:proofErr w:type="gramEnd"/>
    </w:p>
    <w:p w14:paraId="62D6E655" w14:textId="77777777" w:rsidR="00923112" w:rsidRPr="00C73725" w:rsidRDefault="00923112" w:rsidP="00AE5572">
      <w:pPr>
        <w:pStyle w:val="Liststycke"/>
        <w:numPr>
          <w:ilvl w:val="2"/>
          <w:numId w:val="19"/>
        </w:numPr>
        <w:spacing w:before="0" w:after="240" w:line="240" w:lineRule="auto"/>
        <w:ind w:left="1282" w:hanging="360"/>
        <w:contextualSpacing w:val="0"/>
        <w:rPr>
          <w:color w:val="000000" w:themeColor="text1"/>
          <w:sz w:val="22"/>
          <w:lang w:val="en-US"/>
        </w:rPr>
      </w:pPr>
      <w:r w:rsidRPr="00C73725">
        <w:rPr>
          <w:sz w:val="22"/>
          <w:lang w:val="en-US"/>
        </w:rPr>
        <w:t>actions can be traced to a user (</w:t>
      </w:r>
      <w:r w:rsidRPr="00C73725">
        <w:rPr>
          <w:i/>
          <w:iCs/>
          <w:sz w:val="22"/>
          <w:lang w:val="en-US"/>
        </w:rPr>
        <w:t>traceability</w:t>
      </w:r>
      <w:r w:rsidRPr="00C73725">
        <w:rPr>
          <w:sz w:val="22"/>
          <w:lang w:val="en-US"/>
        </w:rPr>
        <w:t>) in information systems that are fully or partially automated</w:t>
      </w:r>
      <w:r w:rsidRPr="00C73725">
        <w:rPr>
          <w:color w:val="000000" w:themeColor="text1"/>
          <w:sz w:val="22"/>
          <w:lang w:val="en-US"/>
        </w:rPr>
        <w:t xml:space="preserve"> </w:t>
      </w:r>
    </w:p>
    <w:p w14:paraId="694F2E28" w14:textId="77777777" w:rsidR="00923112" w:rsidRPr="008620E7" w:rsidRDefault="00923112" w:rsidP="00AE5572">
      <w:pPr>
        <w:pStyle w:val="Liststycke"/>
        <w:numPr>
          <w:ilvl w:val="1"/>
          <w:numId w:val="18"/>
        </w:numPr>
        <w:tabs>
          <w:tab w:val="left" w:pos="1080"/>
        </w:tabs>
        <w:spacing w:before="0" w:after="240" w:line="240" w:lineRule="auto"/>
        <w:ind w:left="922" w:hanging="360"/>
        <w:contextualSpacing w:val="0"/>
        <w:rPr>
          <w:sz w:val="22"/>
          <w:lang w:val="en-US"/>
        </w:rPr>
      </w:pPr>
      <w:r w:rsidRPr="008620E7">
        <w:rPr>
          <w:sz w:val="22"/>
          <w:lang w:val="en-US"/>
        </w:rPr>
        <w:t xml:space="preserve">Each Party shall ensure that an information security policy is in place. The policy shall set out the Parties' overall goals for and the operations work with information security </w:t>
      </w:r>
      <w:proofErr w:type="gramStart"/>
      <w:r w:rsidRPr="008620E7">
        <w:rPr>
          <w:sz w:val="22"/>
          <w:lang w:val="en-US"/>
        </w:rPr>
        <w:t>in order to</w:t>
      </w:r>
      <w:proofErr w:type="gramEnd"/>
      <w:r w:rsidRPr="008620E7">
        <w:rPr>
          <w:sz w:val="22"/>
          <w:lang w:val="en-US"/>
        </w:rPr>
        <w:t xml:space="preserve"> ensure the availability, accuracy, confidentiality and traceability of personal data.</w:t>
      </w:r>
    </w:p>
    <w:p w14:paraId="1DAAA839" w14:textId="77777777" w:rsidR="00923112" w:rsidRPr="008620E7" w:rsidRDefault="00923112" w:rsidP="00AE5572">
      <w:pPr>
        <w:pStyle w:val="Liststycke"/>
        <w:numPr>
          <w:ilvl w:val="1"/>
          <w:numId w:val="18"/>
        </w:numPr>
        <w:tabs>
          <w:tab w:val="left" w:pos="1080"/>
        </w:tabs>
        <w:spacing w:before="0" w:after="240" w:line="240" w:lineRule="auto"/>
        <w:ind w:left="922" w:hanging="360"/>
        <w:contextualSpacing w:val="0"/>
        <w:rPr>
          <w:sz w:val="22"/>
          <w:lang w:val="en-US"/>
        </w:rPr>
      </w:pPr>
      <w:r w:rsidRPr="008620E7">
        <w:rPr>
          <w:sz w:val="22"/>
          <w:lang w:val="en-US"/>
        </w:rPr>
        <w:t>Each Party shall appoint one (1) or more persons to lead and coordinate the information security work.</w:t>
      </w:r>
    </w:p>
    <w:p w14:paraId="37045791" w14:textId="77777777" w:rsidR="00923112" w:rsidRPr="008620E7" w:rsidRDefault="00923112" w:rsidP="00AE5572">
      <w:pPr>
        <w:pStyle w:val="Liststycke"/>
        <w:numPr>
          <w:ilvl w:val="1"/>
          <w:numId w:val="18"/>
        </w:numPr>
        <w:tabs>
          <w:tab w:val="left" w:pos="1080"/>
        </w:tabs>
        <w:spacing w:before="0" w:after="240" w:line="240" w:lineRule="auto"/>
        <w:ind w:left="922" w:hanging="360"/>
        <w:contextualSpacing w:val="0"/>
        <w:rPr>
          <w:sz w:val="22"/>
          <w:lang w:val="en-US"/>
        </w:rPr>
      </w:pPr>
      <w:r w:rsidRPr="008620E7">
        <w:rPr>
          <w:sz w:val="22"/>
          <w:lang w:val="en-US"/>
        </w:rPr>
        <w:t>Each Party shall regularly assess whether there are risks of events that may result in the obligations in this Appendix 4 not being complied with (risk analysis). For each such event, the Party shall (i) estimate the probability of the event occurring, and (ii), assess the negative consequences that would result from the event. The risk analysis must be documented in writing.</w:t>
      </w:r>
    </w:p>
    <w:p w14:paraId="3CA02CBE" w14:textId="77777777" w:rsidR="00923112" w:rsidRPr="008620E7" w:rsidRDefault="00923112" w:rsidP="00AE5572">
      <w:pPr>
        <w:pStyle w:val="Liststycke"/>
        <w:numPr>
          <w:ilvl w:val="1"/>
          <w:numId w:val="18"/>
        </w:numPr>
        <w:tabs>
          <w:tab w:val="left" w:pos="1080"/>
        </w:tabs>
        <w:spacing w:before="0" w:after="240" w:line="240" w:lineRule="auto"/>
        <w:ind w:left="922" w:hanging="360"/>
        <w:contextualSpacing w:val="0"/>
        <w:rPr>
          <w:sz w:val="22"/>
          <w:lang w:val="en-US"/>
        </w:rPr>
      </w:pPr>
      <w:proofErr w:type="gramStart"/>
      <w:r w:rsidRPr="008620E7">
        <w:rPr>
          <w:sz w:val="22"/>
          <w:lang w:val="en-US"/>
        </w:rPr>
        <w:t>In order to</w:t>
      </w:r>
      <w:proofErr w:type="gramEnd"/>
      <w:r w:rsidRPr="008620E7">
        <w:rPr>
          <w:sz w:val="22"/>
          <w:lang w:val="en-US"/>
        </w:rPr>
        <w:t xml:space="preserve"> avoid misunderstandings: Each Party shall ensure that any personal data processors working for them are subject to obligations regarding technical and organizational measures which materially correspond to this Annex 4</w:t>
      </w:r>
    </w:p>
    <w:p w14:paraId="67E15168" w14:textId="77777777" w:rsidR="00923112" w:rsidRPr="00923112" w:rsidRDefault="00923112" w:rsidP="00923112">
      <w:pPr>
        <w:spacing w:before="0" w:after="0" w:line="276" w:lineRule="auto"/>
        <w:rPr>
          <w:b/>
          <w:bCs/>
          <w:color w:val="000000" w:themeColor="text1"/>
          <w:sz w:val="22"/>
          <w:lang w:val="en-US"/>
        </w:rPr>
      </w:pPr>
      <w:r w:rsidRPr="00923112">
        <w:rPr>
          <w:b/>
          <w:bCs/>
          <w:color w:val="000000" w:themeColor="text1"/>
          <w:sz w:val="22"/>
          <w:lang w:val="en-US"/>
        </w:rPr>
        <w:br w:type="page"/>
      </w:r>
    </w:p>
    <w:p w14:paraId="49FD018F" w14:textId="77777777" w:rsidR="00923112" w:rsidRPr="00243595" w:rsidRDefault="00923112" w:rsidP="00BB120A">
      <w:pPr>
        <w:pStyle w:val="Rubrik3"/>
        <w:numPr>
          <w:ilvl w:val="0"/>
          <w:numId w:val="21"/>
        </w:numPr>
        <w:spacing w:before="120" w:after="200" w:line="288" w:lineRule="auto"/>
      </w:pPr>
      <w:r w:rsidRPr="00243595">
        <w:lastRenderedPageBreak/>
        <w:t>Availability</w:t>
      </w:r>
    </w:p>
    <w:p w14:paraId="3143FB1F" w14:textId="146A8394" w:rsidR="00E37C68" w:rsidRPr="00832265" w:rsidRDefault="00923112" w:rsidP="00832265">
      <w:pPr>
        <w:pStyle w:val="Rubrik4"/>
      </w:pPr>
      <w:r w:rsidRPr="0025734B">
        <w:t>Backup</w:t>
      </w:r>
    </w:p>
    <w:p w14:paraId="2F7A14D0" w14:textId="0223C4DD" w:rsidR="00923112" w:rsidRPr="00243595" w:rsidRDefault="00923112" w:rsidP="00832265">
      <w:pPr>
        <w:pStyle w:val="Liststycke"/>
        <w:numPr>
          <w:ilvl w:val="1"/>
          <w:numId w:val="20"/>
        </w:numPr>
        <w:spacing w:before="0" w:after="240" w:line="240" w:lineRule="auto"/>
        <w:ind w:left="994" w:right="-162"/>
        <w:contextualSpacing w:val="0"/>
        <w:rPr>
          <w:sz w:val="22"/>
          <w:lang w:val="en-US"/>
        </w:rPr>
      </w:pPr>
      <w:r w:rsidRPr="00243595">
        <w:rPr>
          <w:sz w:val="22"/>
          <w:lang w:val="en-US"/>
        </w:rPr>
        <w:t>Each Party shall ensure that personal data processed in IT-systems are backed up with a fixed periodicity. The backup copies must be stored securely, well separated from the original information. The Party shall decide on how long the backup copies shall be kept and how often re-reading tests of the copies shall be performed.</w:t>
      </w:r>
    </w:p>
    <w:p w14:paraId="797D36AB" w14:textId="77777777" w:rsidR="00923112" w:rsidRPr="00243595" w:rsidRDefault="00923112" w:rsidP="0025734B">
      <w:pPr>
        <w:pStyle w:val="Rubrik4"/>
      </w:pPr>
      <w:r w:rsidRPr="00243595">
        <w:t>Continuity planning</w:t>
      </w:r>
    </w:p>
    <w:p w14:paraId="53A7266C" w14:textId="77777777" w:rsidR="00923112" w:rsidRPr="00243595" w:rsidRDefault="00923112" w:rsidP="008A08DC">
      <w:pPr>
        <w:pStyle w:val="Liststycke"/>
        <w:numPr>
          <w:ilvl w:val="1"/>
          <w:numId w:val="20"/>
        </w:numPr>
        <w:spacing w:before="0" w:after="240" w:line="240" w:lineRule="auto"/>
        <w:ind w:left="922" w:hanging="360"/>
        <w:contextualSpacing w:val="0"/>
        <w:rPr>
          <w:sz w:val="22"/>
          <w:lang w:val="en-US"/>
        </w:rPr>
      </w:pPr>
      <w:r w:rsidRPr="00243595">
        <w:rPr>
          <w:sz w:val="22"/>
          <w:lang w:val="en-US"/>
        </w:rPr>
        <w:t>The Party shall plan for how the processing is to be carried out if IT-systems used for the processing of personal data malfunction. The Party must further plan for how the restart or restoration is to be achieved after such a malfunction.</w:t>
      </w:r>
    </w:p>
    <w:p w14:paraId="39881F51" w14:textId="1664814F" w:rsidR="00832265" w:rsidRPr="00832265" w:rsidRDefault="00923112" w:rsidP="00BB120A">
      <w:pPr>
        <w:pStyle w:val="Rubrik3"/>
        <w:numPr>
          <w:ilvl w:val="0"/>
          <w:numId w:val="21"/>
        </w:numPr>
        <w:spacing w:before="500" w:after="200" w:line="288" w:lineRule="auto"/>
      </w:pPr>
      <w:r w:rsidRPr="00243595">
        <w:t>Accuracy</w:t>
      </w:r>
    </w:p>
    <w:p w14:paraId="3256CFEC" w14:textId="58290A97" w:rsidR="00923112" w:rsidRPr="00243595" w:rsidRDefault="00923112" w:rsidP="00BE54CD">
      <w:pPr>
        <w:pStyle w:val="Liststycke"/>
        <w:numPr>
          <w:ilvl w:val="1"/>
          <w:numId w:val="22"/>
        </w:numPr>
        <w:tabs>
          <w:tab w:val="left" w:pos="9063"/>
        </w:tabs>
        <w:spacing w:before="0" w:after="240" w:line="240" w:lineRule="auto"/>
        <w:ind w:left="922" w:right="-14" w:hanging="360"/>
        <w:contextualSpacing w:val="0"/>
        <w:rPr>
          <w:sz w:val="22"/>
          <w:lang w:val="en-US"/>
        </w:rPr>
      </w:pPr>
      <w:r w:rsidRPr="00243595">
        <w:rPr>
          <w:sz w:val="22"/>
          <w:lang w:val="en-US"/>
        </w:rPr>
        <w:t xml:space="preserve">Each Party shall ensure that personal data processed in information systems are correct in the sense that they are not subject to distortion </w:t>
      </w:r>
      <w:proofErr w:type="gramStart"/>
      <w:r w:rsidRPr="00243595">
        <w:rPr>
          <w:sz w:val="22"/>
          <w:lang w:val="en-US"/>
        </w:rPr>
        <w:t>and also</w:t>
      </w:r>
      <w:proofErr w:type="gramEnd"/>
      <w:r w:rsidRPr="00243595">
        <w:rPr>
          <w:sz w:val="22"/>
          <w:lang w:val="en-US"/>
        </w:rPr>
        <w:t xml:space="preserve"> correspond to its source, if applicable.</w:t>
      </w:r>
    </w:p>
    <w:p w14:paraId="47735A8A" w14:textId="77777777" w:rsidR="00923112" w:rsidRPr="00243595" w:rsidRDefault="00923112" w:rsidP="00BB120A">
      <w:pPr>
        <w:pStyle w:val="Rubrik3"/>
        <w:numPr>
          <w:ilvl w:val="0"/>
          <w:numId w:val="21"/>
        </w:numPr>
        <w:spacing w:before="400" w:after="200" w:line="288" w:lineRule="auto"/>
      </w:pPr>
      <w:r w:rsidRPr="00243595">
        <w:t>Confidentiality</w:t>
      </w:r>
    </w:p>
    <w:p w14:paraId="657D3138" w14:textId="016160C9" w:rsidR="00E37C68" w:rsidRPr="00832265" w:rsidRDefault="00923112" w:rsidP="00832265">
      <w:pPr>
        <w:pStyle w:val="Rubrik4"/>
      </w:pPr>
      <w:r w:rsidRPr="0025734B">
        <w:t>Pseudonymization</w:t>
      </w:r>
    </w:p>
    <w:p w14:paraId="58F23CB0" w14:textId="076269B0" w:rsidR="00923112" w:rsidRPr="00832265" w:rsidRDefault="00923112" w:rsidP="00BE54CD">
      <w:pPr>
        <w:pStyle w:val="Liststycke"/>
        <w:numPr>
          <w:ilvl w:val="1"/>
          <w:numId w:val="23"/>
        </w:numPr>
        <w:spacing w:before="0" w:after="240" w:line="240" w:lineRule="auto"/>
        <w:ind w:left="994"/>
        <w:rPr>
          <w:sz w:val="22"/>
          <w:lang w:val="en-US"/>
        </w:rPr>
      </w:pPr>
      <w:r w:rsidRPr="00832265">
        <w:rPr>
          <w:sz w:val="22"/>
          <w:lang w:val="en-US"/>
        </w:rPr>
        <w:t>Personal data disclosed to a Party, or other recipient, shall be disclosed in pseudonymous form. A Party may not disclose code keys or other information that enables the identification of data subjects. Code keys or other information that enables the identification of data subjects may not be transferred to third countries without sufficient safeguards in place.</w:t>
      </w:r>
    </w:p>
    <w:p w14:paraId="600F1D14" w14:textId="77777777" w:rsidR="00923112" w:rsidRPr="00243595" w:rsidRDefault="00923112" w:rsidP="00BE54CD">
      <w:pPr>
        <w:pStyle w:val="Liststycke"/>
        <w:numPr>
          <w:ilvl w:val="1"/>
          <w:numId w:val="23"/>
        </w:numPr>
        <w:spacing w:before="400" w:after="240" w:line="240" w:lineRule="auto"/>
        <w:ind w:left="922" w:hanging="360"/>
        <w:contextualSpacing w:val="0"/>
        <w:rPr>
          <w:sz w:val="22"/>
          <w:lang w:val="en-US"/>
        </w:rPr>
      </w:pPr>
      <w:r w:rsidRPr="00243595">
        <w:rPr>
          <w:sz w:val="22"/>
          <w:lang w:val="en-US"/>
        </w:rPr>
        <w:t>In order to avoid misunderstanding: pseudonymized personal data provided to a Party, to a data processor or another recipient, or to a third party, is still considered personal data even if it is not possible for the recipient or the third party to identify the data subject who the personal data refers to. Pseudonymization is merely a security measure.</w:t>
      </w:r>
    </w:p>
    <w:p w14:paraId="3EDB6CBF" w14:textId="77777777" w:rsidR="00923112" w:rsidRPr="00FA5783" w:rsidRDefault="00923112" w:rsidP="00FA5783">
      <w:pPr>
        <w:pStyle w:val="Rubrik4"/>
      </w:pPr>
      <w:r w:rsidRPr="00FA5783">
        <w:t>Evaluation of protection against unauthorized access</w:t>
      </w:r>
    </w:p>
    <w:p w14:paraId="02E7A51F" w14:textId="77777777" w:rsidR="00923112" w:rsidRPr="00243595" w:rsidRDefault="00923112" w:rsidP="00A75E11">
      <w:pPr>
        <w:pStyle w:val="Liststycke"/>
        <w:numPr>
          <w:ilvl w:val="1"/>
          <w:numId w:val="23"/>
        </w:numPr>
        <w:spacing w:before="0" w:after="240" w:line="240" w:lineRule="auto"/>
        <w:ind w:left="922" w:hanging="360"/>
        <w:rPr>
          <w:sz w:val="22"/>
          <w:lang w:val="en-US"/>
        </w:rPr>
      </w:pPr>
      <w:r w:rsidRPr="00243595">
        <w:rPr>
          <w:sz w:val="22"/>
          <w:lang w:val="en-US"/>
        </w:rPr>
        <w:t>Each Party shall annually evaluate the protection against both internal and external unauthorized access to computer networks and IT-systems used for the processing of personal data.</w:t>
      </w:r>
    </w:p>
    <w:p w14:paraId="0BB63F8D" w14:textId="77777777" w:rsidR="00923112" w:rsidRPr="002001B6" w:rsidRDefault="00923112" w:rsidP="002001B6">
      <w:pPr>
        <w:pStyle w:val="Rubrik4"/>
      </w:pPr>
      <w:r w:rsidRPr="002001B6">
        <w:t>Access control</w:t>
      </w:r>
    </w:p>
    <w:p w14:paraId="69B0BAEC" w14:textId="77777777" w:rsidR="00923112" w:rsidRPr="00243595" w:rsidRDefault="00923112" w:rsidP="00BE54CD">
      <w:pPr>
        <w:pStyle w:val="Liststycke"/>
        <w:numPr>
          <w:ilvl w:val="1"/>
          <w:numId w:val="23"/>
        </w:numPr>
        <w:spacing w:before="0" w:after="240" w:line="240" w:lineRule="auto"/>
        <w:ind w:left="922" w:hanging="360"/>
        <w:rPr>
          <w:sz w:val="22"/>
          <w:lang w:val="en-US"/>
        </w:rPr>
      </w:pPr>
      <w:r w:rsidRPr="00243595">
        <w:rPr>
          <w:sz w:val="22"/>
          <w:lang w:val="en-US"/>
        </w:rPr>
        <w:t>Each Party shall be responsible for assigning each user an individual authorization for access to personal data (access control). A party shall develop routines for changing, removing, and regularly following up the authorizations to ensure that these are correct and current.</w:t>
      </w:r>
    </w:p>
    <w:p w14:paraId="3BFFD122" w14:textId="77777777" w:rsidR="00923112" w:rsidRPr="0025734B" w:rsidRDefault="00923112" w:rsidP="002001B6">
      <w:pPr>
        <w:pStyle w:val="Rubrik4"/>
        <w:rPr>
          <w:color w:val="000000" w:themeColor="text1"/>
        </w:rPr>
      </w:pPr>
      <w:r w:rsidRPr="0025734B">
        <w:t xml:space="preserve"> </w:t>
      </w:r>
      <w:r w:rsidRPr="002001B6">
        <w:t>Authentication</w:t>
      </w:r>
    </w:p>
    <w:p w14:paraId="6006D500" w14:textId="77777777" w:rsidR="00923112" w:rsidRPr="00243595" w:rsidRDefault="00923112" w:rsidP="00BE54CD">
      <w:pPr>
        <w:pStyle w:val="Liststycke"/>
        <w:numPr>
          <w:ilvl w:val="1"/>
          <w:numId w:val="23"/>
        </w:numPr>
        <w:spacing w:before="0" w:after="240" w:line="240" w:lineRule="auto"/>
        <w:ind w:left="922" w:hanging="360"/>
        <w:rPr>
          <w:sz w:val="22"/>
          <w:lang w:val="en-US"/>
        </w:rPr>
      </w:pPr>
      <w:r w:rsidRPr="00243595">
        <w:rPr>
          <w:sz w:val="22"/>
          <w:lang w:val="en-US"/>
        </w:rPr>
        <w:t xml:space="preserve">Each Party shall be responsible for ensuring that each user can use his or her authorization only after it has been authenticated in a secure manner. This requires, </w:t>
      </w:r>
      <w:r w:rsidRPr="00243595">
        <w:rPr>
          <w:sz w:val="22"/>
          <w:lang w:val="en-US"/>
        </w:rPr>
        <w:lastRenderedPageBreak/>
        <w:t>as a minimum, that access can only take place with the help of strong authentication (two factors) unless the parties have agreed otherwise.</w:t>
      </w:r>
    </w:p>
    <w:p w14:paraId="01263E11" w14:textId="77777777" w:rsidR="00923112" w:rsidRPr="0025734B" w:rsidRDefault="00923112" w:rsidP="002001B6">
      <w:pPr>
        <w:pStyle w:val="Rubrik4"/>
      </w:pPr>
      <w:r w:rsidRPr="0025734B">
        <w:t>Physical protection</w:t>
      </w:r>
    </w:p>
    <w:p w14:paraId="3327B638" w14:textId="77777777" w:rsidR="00923112" w:rsidRPr="00243595" w:rsidRDefault="00923112" w:rsidP="00BE54CD">
      <w:pPr>
        <w:pStyle w:val="Liststycke"/>
        <w:numPr>
          <w:ilvl w:val="1"/>
          <w:numId w:val="23"/>
        </w:numPr>
        <w:spacing w:before="0" w:after="240" w:line="240" w:lineRule="auto"/>
        <w:ind w:left="922" w:hanging="360"/>
        <w:rPr>
          <w:sz w:val="22"/>
          <w:lang w:val="en-US"/>
        </w:rPr>
      </w:pPr>
      <w:r w:rsidRPr="00243595">
        <w:rPr>
          <w:sz w:val="22"/>
          <w:lang w:val="en-US"/>
        </w:rPr>
        <w:t>Each Party shall ensure that IT-systems used for the processing of personal data are physically protected against damage, interference, and unauthorized access.</w:t>
      </w:r>
    </w:p>
    <w:p w14:paraId="158643FC" w14:textId="77777777" w:rsidR="00923112" w:rsidRPr="0025734B" w:rsidRDefault="00923112" w:rsidP="002001B6">
      <w:pPr>
        <w:pStyle w:val="Rubrik4"/>
      </w:pPr>
      <w:r w:rsidRPr="0025734B">
        <w:t>Removable medium for information storage</w:t>
      </w:r>
    </w:p>
    <w:p w14:paraId="1A303E30" w14:textId="77777777" w:rsidR="00BB120A" w:rsidRDefault="00923112" w:rsidP="00BE54CD">
      <w:pPr>
        <w:pStyle w:val="Liststycke"/>
        <w:numPr>
          <w:ilvl w:val="1"/>
          <w:numId w:val="23"/>
        </w:numPr>
        <w:spacing w:before="0" w:after="240" w:line="240" w:lineRule="auto"/>
        <w:ind w:left="922" w:hanging="360"/>
        <w:rPr>
          <w:sz w:val="22"/>
          <w:lang w:val="en-US"/>
        </w:rPr>
      </w:pPr>
      <w:r w:rsidRPr="00243595">
        <w:rPr>
          <w:sz w:val="22"/>
          <w:lang w:val="en-US"/>
        </w:rPr>
        <w:t>Each Party that allows removable medium for the storage of personal data shall ensure that unauthorized persons cannot access that stored personal data, and that personal data on such medium is not lost.</w:t>
      </w:r>
    </w:p>
    <w:p w14:paraId="7F54423D" w14:textId="2A40FCD5" w:rsidR="00923112" w:rsidRPr="00BB120A" w:rsidRDefault="00923112" w:rsidP="00A75E11">
      <w:pPr>
        <w:pStyle w:val="Liststycke"/>
        <w:numPr>
          <w:ilvl w:val="1"/>
          <w:numId w:val="23"/>
        </w:numPr>
        <w:spacing w:before="440" w:after="240" w:line="240" w:lineRule="auto"/>
        <w:ind w:left="922" w:hanging="360"/>
        <w:contextualSpacing w:val="0"/>
        <w:rPr>
          <w:sz w:val="22"/>
          <w:lang w:val="en-US"/>
        </w:rPr>
      </w:pPr>
      <w:r w:rsidRPr="00BB120A">
        <w:rPr>
          <w:sz w:val="22"/>
          <w:lang w:val="en-US"/>
        </w:rPr>
        <w:t>Information storage medium containing personal data shall be phased out in such a way that the data cannot be read or recreated.</w:t>
      </w:r>
    </w:p>
    <w:p w14:paraId="13313FD1" w14:textId="0EBE8FAD" w:rsidR="00E37C68" w:rsidRPr="00832265" w:rsidRDefault="00923112" w:rsidP="00BB120A">
      <w:pPr>
        <w:pStyle w:val="Rubrik3"/>
        <w:numPr>
          <w:ilvl w:val="0"/>
          <w:numId w:val="21"/>
        </w:numPr>
        <w:spacing w:before="500" w:after="200" w:line="288" w:lineRule="auto"/>
      </w:pPr>
      <w:r w:rsidRPr="00E509EE">
        <w:t>Traceability</w:t>
      </w:r>
    </w:p>
    <w:p w14:paraId="24CD6539" w14:textId="60721234" w:rsidR="00923112" w:rsidRPr="00D5143C" w:rsidRDefault="00923112" w:rsidP="00BE54CD">
      <w:pPr>
        <w:pStyle w:val="Liststycke"/>
        <w:numPr>
          <w:ilvl w:val="1"/>
          <w:numId w:val="27"/>
        </w:numPr>
        <w:spacing w:before="0" w:after="240" w:line="240" w:lineRule="auto"/>
        <w:ind w:left="922" w:hanging="360"/>
        <w:contextualSpacing w:val="0"/>
        <w:rPr>
          <w:b/>
          <w:bCs/>
          <w:sz w:val="22"/>
          <w:lang w:val="en-US"/>
        </w:rPr>
      </w:pPr>
      <w:r w:rsidRPr="00D5143C">
        <w:rPr>
          <w:sz w:val="22"/>
          <w:lang w:val="en-US"/>
        </w:rPr>
        <w:t>Parties shall be responsible for:</w:t>
      </w:r>
    </w:p>
    <w:p w14:paraId="76B113AB" w14:textId="77777777" w:rsidR="00923112" w:rsidRPr="00827763" w:rsidRDefault="00923112" w:rsidP="00AE5572">
      <w:pPr>
        <w:pStyle w:val="Liststycke"/>
        <w:numPr>
          <w:ilvl w:val="2"/>
          <w:numId w:val="10"/>
        </w:numPr>
        <w:spacing w:before="0" w:after="240" w:line="240" w:lineRule="auto"/>
        <w:ind w:left="1670" w:hanging="360"/>
        <w:contextualSpacing w:val="0"/>
        <w:rPr>
          <w:sz w:val="22"/>
          <w:lang w:val="en-US"/>
        </w:rPr>
      </w:pPr>
      <w:r w:rsidRPr="00827763">
        <w:rPr>
          <w:sz w:val="22"/>
          <w:lang w:val="en-US"/>
        </w:rPr>
        <w:t>the documentation of the access (logs) securely indicates which access and other measures have been taken with personal data,</w:t>
      </w:r>
    </w:p>
    <w:p w14:paraId="024C90C5" w14:textId="77777777" w:rsidR="00923112" w:rsidRPr="00827763" w:rsidRDefault="00923112" w:rsidP="00AE5572">
      <w:pPr>
        <w:pStyle w:val="Liststycke"/>
        <w:numPr>
          <w:ilvl w:val="2"/>
          <w:numId w:val="10"/>
        </w:numPr>
        <w:spacing w:before="0" w:after="240" w:line="240" w:lineRule="auto"/>
        <w:ind w:left="1670" w:hanging="360"/>
        <w:contextualSpacing w:val="0"/>
        <w:rPr>
          <w:sz w:val="22"/>
          <w:lang w:val="en-US"/>
        </w:rPr>
      </w:pPr>
      <w:r w:rsidRPr="00827763">
        <w:rPr>
          <w:sz w:val="22"/>
          <w:lang w:val="en-US"/>
        </w:rPr>
        <w:t>the logs securely indicate at which business unit the measures were taken,</w:t>
      </w:r>
    </w:p>
    <w:p w14:paraId="4E5A7C9A" w14:textId="77777777" w:rsidR="00923112" w:rsidRPr="00827763" w:rsidRDefault="00923112" w:rsidP="00AE5572">
      <w:pPr>
        <w:pStyle w:val="Liststycke"/>
        <w:numPr>
          <w:ilvl w:val="2"/>
          <w:numId w:val="10"/>
        </w:numPr>
        <w:spacing w:before="0" w:after="240" w:line="240" w:lineRule="auto"/>
        <w:ind w:left="1670" w:hanging="360"/>
        <w:contextualSpacing w:val="0"/>
        <w:rPr>
          <w:b/>
          <w:bCs/>
          <w:sz w:val="22"/>
          <w:lang w:val="en-US"/>
        </w:rPr>
      </w:pPr>
      <w:r w:rsidRPr="00827763">
        <w:rPr>
          <w:sz w:val="22"/>
          <w:lang w:val="en-US"/>
        </w:rPr>
        <w:t>the logs securely indicate at what time and date the measures were taken,</w:t>
      </w:r>
    </w:p>
    <w:p w14:paraId="006B1224" w14:textId="77777777" w:rsidR="00923112" w:rsidRPr="00827763" w:rsidRDefault="00923112" w:rsidP="00AE5572">
      <w:pPr>
        <w:pStyle w:val="Liststycke"/>
        <w:numPr>
          <w:ilvl w:val="2"/>
          <w:numId w:val="10"/>
        </w:numPr>
        <w:spacing w:before="0" w:after="240" w:line="240" w:lineRule="auto"/>
        <w:ind w:left="1670" w:hanging="360"/>
        <w:contextualSpacing w:val="0"/>
        <w:rPr>
          <w:b/>
          <w:bCs/>
          <w:sz w:val="22"/>
          <w:lang w:val="en-US"/>
        </w:rPr>
      </w:pPr>
      <w:r w:rsidRPr="00827763">
        <w:rPr>
          <w:sz w:val="22"/>
          <w:lang w:val="en-US"/>
        </w:rPr>
        <w:t>the logs securely indicate the user identity of whom has taken the measures,</w:t>
      </w:r>
    </w:p>
    <w:p w14:paraId="26A3B2AA" w14:textId="77777777" w:rsidR="00923112" w:rsidRPr="00827763" w:rsidRDefault="00923112" w:rsidP="00AE5572">
      <w:pPr>
        <w:pStyle w:val="Liststycke"/>
        <w:numPr>
          <w:ilvl w:val="2"/>
          <w:numId w:val="10"/>
        </w:numPr>
        <w:spacing w:before="0" w:after="240" w:line="240" w:lineRule="auto"/>
        <w:ind w:left="1670" w:hanging="360"/>
        <w:contextualSpacing w:val="0"/>
        <w:rPr>
          <w:sz w:val="22"/>
          <w:lang w:val="en-US"/>
        </w:rPr>
      </w:pPr>
      <w:r w:rsidRPr="00827763">
        <w:rPr>
          <w:sz w:val="22"/>
          <w:lang w:val="en-US"/>
        </w:rPr>
        <w:t>systematic and periodic random checks, or other forms of inspection, of the logs are performed,</w:t>
      </w:r>
    </w:p>
    <w:p w14:paraId="7109F774" w14:textId="77777777" w:rsidR="00923112" w:rsidRPr="00827763" w:rsidRDefault="00923112" w:rsidP="00AE5572">
      <w:pPr>
        <w:pStyle w:val="Liststycke"/>
        <w:numPr>
          <w:ilvl w:val="2"/>
          <w:numId w:val="10"/>
        </w:numPr>
        <w:spacing w:before="0" w:after="240" w:line="240" w:lineRule="auto"/>
        <w:ind w:left="1670" w:hanging="360"/>
        <w:contextualSpacing w:val="0"/>
        <w:rPr>
          <w:b/>
          <w:bCs/>
          <w:sz w:val="22"/>
          <w:lang w:val="en-US"/>
        </w:rPr>
      </w:pPr>
      <w:r w:rsidRPr="00827763">
        <w:rPr>
          <w:sz w:val="22"/>
          <w:lang w:val="en-US"/>
        </w:rPr>
        <w:t>these checks are documented, and,</w:t>
      </w:r>
    </w:p>
    <w:p w14:paraId="2666FE5D" w14:textId="77777777" w:rsidR="00923112" w:rsidRPr="00827763" w:rsidRDefault="00923112" w:rsidP="00AE5572">
      <w:pPr>
        <w:pStyle w:val="Liststycke"/>
        <w:numPr>
          <w:ilvl w:val="2"/>
          <w:numId w:val="10"/>
        </w:numPr>
        <w:spacing w:before="0" w:after="240" w:line="240" w:lineRule="auto"/>
        <w:ind w:left="1670" w:hanging="360"/>
        <w:contextualSpacing w:val="0"/>
        <w:rPr>
          <w:sz w:val="22"/>
          <w:lang w:val="en-US"/>
        </w:rPr>
      </w:pPr>
      <w:r w:rsidRPr="00827763">
        <w:rPr>
          <w:sz w:val="22"/>
          <w:lang w:val="en-US"/>
        </w:rPr>
        <w:t>the logs are stored for at least five (5) years to enable control of access to personal data.</w:t>
      </w:r>
    </w:p>
    <w:p w14:paraId="3968827F" w14:textId="4ED20028" w:rsidR="00E37C68" w:rsidRPr="00832265" w:rsidRDefault="00923112" w:rsidP="00BB120A">
      <w:pPr>
        <w:pStyle w:val="Rubrik3"/>
        <w:numPr>
          <w:ilvl w:val="0"/>
          <w:numId w:val="21"/>
        </w:numPr>
        <w:spacing w:before="500" w:after="200" w:line="288" w:lineRule="auto"/>
      </w:pPr>
      <w:r w:rsidRPr="00243595">
        <w:t>Compliance</w:t>
      </w:r>
    </w:p>
    <w:p w14:paraId="1B61F51E" w14:textId="5ABDAB7B" w:rsidR="00923112" w:rsidRPr="00910DDB" w:rsidRDefault="00923112" w:rsidP="00BE54CD">
      <w:pPr>
        <w:pStyle w:val="Liststycke"/>
        <w:numPr>
          <w:ilvl w:val="1"/>
          <w:numId w:val="25"/>
        </w:numPr>
        <w:spacing w:before="0" w:after="240" w:line="240" w:lineRule="auto"/>
        <w:ind w:left="922" w:hanging="360"/>
        <w:contextualSpacing w:val="0"/>
        <w:rPr>
          <w:sz w:val="22"/>
          <w:lang w:val="en-US"/>
        </w:rPr>
      </w:pPr>
      <w:proofErr w:type="gramStart"/>
      <w:r w:rsidRPr="00910DDB">
        <w:rPr>
          <w:sz w:val="22"/>
          <w:lang w:val="en-US"/>
        </w:rPr>
        <w:t>In order to</w:t>
      </w:r>
      <w:proofErr w:type="gramEnd"/>
      <w:r w:rsidRPr="00910DDB">
        <w:rPr>
          <w:sz w:val="22"/>
          <w:lang w:val="en-US"/>
        </w:rPr>
        <w:t xml:space="preserve"> check compliance with this Annex 4, the Party shall ensure that a self-inspection, or inspection by an independent third party, is carried out at least once a year. Such inspection must be documented. If a Party chooses to carry out a self-inspection, that Party shall ensure that the person or persons carrying out the self-inspection have expertise in information security and are independent in how the self-inspection is to be executed.</w:t>
      </w:r>
    </w:p>
    <w:p w14:paraId="1805376C" w14:textId="77777777" w:rsidR="00923112" w:rsidRPr="00923112" w:rsidRDefault="00923112" w:rsidP="00923112">
      <w:pPr>
        <w:spacing w:before="0" w:after="0" w:line="276" w:lineRule="auto"/>
        <w:rPr>
          <w:b/>
          <w:bCs/>
          <w:sz w:val="22"/>
          <w:lang w:val="en-US"/>
        </w:rPr>
      </w:pPr>
      <w:r w:rsidRPr="00923112">
        <w:rPr>
          <w:b/>
          <w:bCs/>
          <w:sz w:val="22"/>
          <w:lang w:val="en-US"/>
        </w:rPr>
        <w:br w:type="page"/>
      </w:r>
    </w:p>
    <w:p w14:paraId="1B2BF491" w14:textId="77777777" w:rsidR="00923112" w:rsidRPr="00243595" w:rsidRDefault="00923112" w:rsidP="00BB120A">
      <w:pPr>
        <w:pStyle w:val="Rubrik3"/>
        <w:numPr>
          <w:ilvl w:val="0"/>
          <w:numId w:val="21"/>
        </w:numPr>
        <w:spacing w:before="120" w:after="200" w:line="288" w:lineRule="auto"/>
      </w:pPr>
      <w:r w:rsidRPr="00243595">
        <w:lastRenderedPageBreak/>
        <w:t>Education</w:t>
      </w:r>
    </w:p>
    <w:p w14:paraId="162979E2" w14:textId="158FBDDF" w:rsidR="00E37C68" w:rsidRPr="00832265" w:rsidRDefault="00923112" w:rsidP="00832265">
      <w:pPr>
        <w:pStyle w:val="Rubrik4"/>
      </w:pPr>
      <w:r w:rsidRPr="0025734B">
        <w:t>Awareness training regarding personal data breach</w:t>
      </w:r>
    </w:p>
    <w:p w14:paraId="7CB93036" w14:textId="44DABA4A" w:rsidR="00923112" w:rsidRPr="005366CD" w:rsidRDefault="00923112" w:rsidP="00A75E11">
      <w:pPr>
        <w:pStyle w:val="Liststycke"/>
        <w:numPr>
          <w:ilvl w:val="1"/>
          <w:numId w:val="26"/>
        </w:numPr>
        <w:spacing w:before="0" w:after="240" w:line="240" w:lineRule="auto"/>
        <w:ind w:left="922" w:hanging="360"/>
        <w:contextualSpacing w:val="0"/>
        <w:rPr>
          <w:sz w:val="22"/>
          <w:lang w:val="en-US"/>
        </w:rPr>
      </w:pPr>
      <w:r w:rsidRPr="00811F08">
        <w:rPr>
          <w:sz w:val="22"/>
          <w:lang w:val="en-US"/>
        </w:rPr>
        <w:t xml:space="preserve">Each party shall annually ensure that employees under its direction receive appropriate training and </w:t>
      </w:r>
      <w:r w:rsidRPr="00922DCC">
        <w:rPr>
          <w:sz w:val="22"/>
          <w:lang w:val="en-US"/>
        </w:rPr>
        <w:t>education</w:t>
      </w:r>
      <w:r w:rsidRPr="00811F08">
        <w:rPr>
          <w:sz w:val="22"/>
          <w:lang w:val="en-US"/>
        </w:rPr>
        <w:t xml:space="preserve"> in how a personal data breach is identified and reported.</w:t>
      </w:r>
      <w:r w:rsidRPr="005366CD">
        <w:rPr>
          <w:sz w:val="20"/>
          <w:szCs w:val="20"/>
          <w:lang w:val="en-US"/>
        </w:rPr>
        <w:br w:type="page"/>
      </w:r>
    </w:p>
    <w:p w14:paraId="677B7C21" w14:textId="2A87F345" w:rsidR="00923112" w:rsidRPr="006F49D7" w:rsidRDefault="00923112" w:rsidP="00D167C9">
      <w:pPr>
        <w:pStyle w:val="Rubrik2"/>
        <w:numPr>
          <w:ilvl w:val="0"/>
          <w:numId w:val="0"/>
        </w:numPr>
        <w:spacing w:after="620"/>
        <w:rPr>
          <w:rFonts w:asciiTheme="majorHAnsi" w:hAnsiTheme="majorHAnsi" w:cstheme="majorHAnsi"/>
          <w:sz w:val="32"/>
          <w:szCs w:val="32"/>
          <w:lang w:val="en-US"/>
        </w:rPr>
      </w:pPr>
      <w:bookmarkStart w:id="73" w:name="_Toc103014338"/>
      <w:bookmarkStart w:id="74" w:name="_Toc105656750"/>
      <w:bookmarkStart w:id="75" w:name="_Toc112701966"/>
      <w:bookmarkEnd w:id="72"/>
      <w:r w:rsidRPr="006F49D7">
        <w:rPr>
          <w:rFonts w:asciiTheme="majorHAnsi" w:hAnsiTheme="majorHAnsi" w:cstheme="majorHAnsi"/>
          <w:sz w:val="32"/>
          <w:szCs w:val="32"/>
          <w:lang w:val="en-US"/>
        </w:rPr>
        <w:lastRenderedPageBreak/>
        <w:t>Appendix 5 – Personal data processors</w:t>
      </w:r>
      <w:bookmarkEnd w:id="73"/>
      <w:bookmarkEnd w:id="74"/>
      <w:bookmarkEnd w:id="75"/>
    </w:p>
    <w:p w14:paraId="3C8C7655" w14:textId="73A473AB" w:rsidR="00887C02" w:rsidRPr="00832265" w:rsidRDefault="00887C02" w:rsidP="0025734B">
      <w:pPr>
        <w:pStyle w:val="Rubrik3"/>
        <w:numPr>
          <w:ilvl w:val="0"/>
          <w:numId w:val="0"/>
        </w:numPr>
        <w:pBdr>
          <w:top w:val="single" w:sz="4" w:space="1" w:color="auto"/>
          <w:left w:val="single" w:sz="4" w:space="4" w:color="auto"/>
          <w:right w:val="single" w:sz="4" w:space="4" w:color="auto"/>
        </w:pBdr>
        <w:spacing w:after="40"/>
        <w:ind w:left="117" w:right="144"/>
        <w:rPr>
          <w:b w:val="0"/>
          <w:bCs w:val="0"/>
        </w:rPr>
      </w:pPr>
      <w:r w:rsidRPr="00832265">
        <w:rPr>
          <w:b w:val="0"/>
          <w:bCs w:val="0"/>
        </w:rPr>
        <w:t>[</w:t>
      </w:r>
      <w:r w:rsidRPr="00832265">
        <w:rPr>
          <w:b w:val="0"/>
          <w:bCs w:val="0"/>
          <w:highlight w:val="yellow"/>
        </w:rPr>
        <w:t>Processor A</w:t>
      </w:r>
      <w:r w:rsidRPr="00832265">
        <w:rPr>
          <w:b w:val="0"/>
          <w:bCs w:val="0"/>
        </w:rPr>
        <w:t>]</w:t>
      </w:r>
    </w:p>
    <w:tbl>
      <w:tblPr>
        <w:tblStyle w:val="Tabellrutnt"/>
        <w:tblW w:w="0" w:type="auto"/>
        <w:tblLook w:val="04A0" w:firstRow="1" w:lastRow="0" w:firstColumn="1" w:lastColumn="0" w:noHBand="0" w:noVBand="1"/>
        <w:tblDescription w:val="A table marked as Processor A. The table has two columns. The one to the right is blank and is supposed to be filled out, while the column to the left consists of four rows and contains information such as: The Party which intends to let a data processor process personal data on its behalf; The company name and registered office of the data processor; Types of personal data and categories of data subjects; Whether personal data is to be transferred to a third country for processing."/>
      </w:tblPr>
      <w:tblGrid>
        <w:gridCol w:w="4528"/>
        <w:gridCol w:w="4528"/>
      </w:tblGrid>
      <w:tr w:rsidR="00923112" w:rsidRPr="00F61770" w14:paraId="1A1485E5" w14:textId="77777777" w:rsidTr="00936DF2">
        <w:tc>
          <w:tcPr>
            <w:tcW w:w="4528" w:type="dxa"/>
          </w:tcPr>
          <w:p w14:paraId="5C5CC1C8" w14:textId="77777777" w:rsidR="00923112" w:rsidRPr="00923112" w:rsidRDefault="00923112" w:rsidP="00923112">
            <w:pPr>
              <w:spacing w:before="0" w:line="276" w:lineRule="auto"/>
              <w:rPr>
                <w:sz w:val="22"/>
                <w:lang w:val="en-US"/>
              </w:rPr>
            </w:pPr>
            <w:r w:rsidRPr="00923112">
              <w:rPr>
                <w:sz w:val="22"/>
                <w:lang w:val="en-US"/>
              </w:rPr>
              <w:t>The Party which intends to let a data processor process personal data on its behalf:</w:t>
            </w:r>
          </w:p>
        </w:tc>
        <w:tc>
          <w:tcPr>
            <w:tcW w:w="4528" w:type="dxa"/>
          </w:tcPr>
          <w:p w14:paraId="1E9375A2" w14:textId="77777777" w:rsidR="00923112" w:rsidRPr="00923112" w:rsidRDefault="00923112" w:rsidP="00AF78D3">
            <w:pPr>
              <w:spacing w:before="1160" w:line="276" w:lineRule="auto"/>
              <w:rPr>
                <w:sz w:val="22"/>
                <w:lang w:val="en-US"/>
              </w:rPr>
            </w:pPr>
          </w:p>
        </w:tc>
      </w:tr>
      <w:tr w:rsidR="00923112" w:rsidRPr="00F61770" w14:paraId="454F7574" w14:textId="77777777" w:rsidTr="00936DF2">
        <w:tc>
          <w:tcPr>
            <w:tcW w:w="4528" w:type="dxa"/>
          </w:tcPr>
          <w:p w14:paraId="206164F4" w14:textId="77777777" w:rsidR="00923112" w:rsidRPr="00923112" w:rsidRDefault="00923112" w:rsidP="00923112">
            <w:pPr>
              <w:spacing w:before="0" w:line="276" w:lineRule="auto"/>
              <w:rPr>
                <w:sz w:val="22"/>
                <w:lang w:val="en-US"/>
              </w:rPr>
            </w:pPr>
            <w:r w:rsidRPr="00923112">
              <w:rPr>
                <w:sz w:val="22"/>
                <w:lang w:val="en-US"/>
              </w:rPr>
              <w:t>The company name and registered office of the data processor:</w:t>
            </w:r>
          </w:p>
        </w:tc>
        <w:tc>
          <w:tcPr>
            <w:tcW w:w="4528" w:type="dxa"/>
          </w:tcPr>
          <w:p w14:paraId="2919293B" w14:textId="77777777" w:rsidR="00923112" w:rsidRPr="00923112" w:rsidRDefault="00923112" w:rsidP="00AF78D3">
            <w:pPr>
              <w:spacing w:before="1160" w:line="276" w:lineRule="auto"/>
              <w:rPr>
                <w:sz w:val="22"/>
                <w:lang w:val="en-US"/>
              </w:rPr>
            </w:pPr>
          </w:p>
        </w:tc>
      </w:tr>
      <w:tr w:rsidR="00923112" w:rsidRPr="00F61770" w14:paraId="35482B00" w14:textId="77777777" w:rsidTr="00936DF2">
        <w:tc>
          <w:tcPr>
            <w:tcW w:w="4528" w:type="dxa"/>
          </w:tcPr>
          <w:p w14:paraId="53040BB9" w14:textId="1743B84C" w:rsidR="00923112" w:rsidRPr="00995448" w:rsidRDefault="00923112" w:rsidP="00923112">
            <w:pPr>
              <w:spacing w:before="0" w:line="276" w:lineRule="auto"/>
              <w:rPr>
                <w:sz w:val="22"/>
                <w:lang w:val="en-GB"/>
              </w:rPr>
            </w:pPr>
            <w:r w:rsidRPr="00923112">
              <w:rPr>
                <w:sz w:val="22"/>
                <w:lang w:val="en"/>
              </w:rPr>
              <w:t>Types of personal data and categories of data subjects:</w:t>
            </w:r>
          </w:p>
        </w:tc>
        <w:tc>
          <w:tcPr>
            <w:tcW w:w="4528" w:type="dxa"/>
          </w:tcPr>
          <w:p w14:paraId="05053ED5" w14:textId="77777777" w:rsidR="00923112" w:rsidRPr="00923112" w:rsidRDefault="00923112" w:rsidP="000F1F4C">
            <w:pPr>
              <w:spacing w:before="1160" w:line="276" w:lineRule="auto"/>
              <w:rPr>
                <w:sz w:val="22"/>
                <w:lang w:val="en-US"/>
              </w:rPr>
            </w:pPr>
          </w:p>
        </w:tc>
      </w:tr>
      <w:tr w:rsidR="00923112" w:rsidRPr="00F61770" w14:paraId="75B3A5C7" w14:textId="77777777" w:rsidTr="00936DF2">
        <w:tc>
          <w:tcPr>
            <w:tcW w:w="4528" w:type="dxa"/>
          </w:tcPr>
          <w:p w14:paraId="07A216DC" w14:textId="616E657A" w:rsidR="00923112" w:rsidRPr="00923112" w:rsidRDefault="00923112" w:rsidP="00923112">
            <w:pPr>
              <w:spacing w:before="0" w:line="276" w:lineRule="auto"/>
              <w:rPr>
                <w:sz w:val="22"/>
                <w:lang w:val="en-US"/>
              </w:rPr>
            </w:pPr>
            <w:r w:rsidRPr="00923112">
              <w:rPr>
                <w:sz w:val="22"/>
                <w:lang w:val="en"/>
              </w:rPr>
              <w:t>Whether personal data is to be transferred to a third country for processing:</w:t>
            </w:r>
          </w:p>
        </w:tc>
        <w:tc>
          <w:tcPr>
            <w:tcW w:w="4528" w:type="dxa"/>
          </w:tcPr>
          <w:p w14:paraId="760695F4" w14:textId="77777777" w:rsidR="00923112" w:rsidRPr="00923112" w:rsidRDefault="00923112" w:rsidP="00D167C9">
            <w:pPr>
              <w:spacing w:before="1160" w:line="276" w:lineRule="auto"/>
              <w:rPr>
                <w:sz w:val="22"/>
                <w:lang w:val="en-US"/>
              </w:rPr>
            </w:pPr>
          </w:p>
        </w:tc>
      </w:tr>
    </w:tbl>
    <w:p w14:paraId="2842776A" w14:textId="77777777" w:rsidR="00832265" w:rsidRDefault="00832265" w:rsidP="008F6768">
      <w:pPr>
        <w:rPr>
          <w:lang w:val="en-US"/>
        </w:rPr>
      </w:pPr>
    </w:p>
    <w:sectPr w:rsidR="00832265" w:rsidSect="00F8078F">
      <w:pgSz w:w="11906" w:h="16838"/>
      <w:pgMar w:top="1417" w:right="1417" w:bottom="1417" w:left="141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814E" w14:textId="77777777" w:rsidR="003F7BE2" w:rsidRDefault="003F7BE2" w:rsidP="004601FB">
      <w:pPr>
        <w:spacing w:after="0" w:line="240" w:lineRule="auto"/>
      </w:pPr>
      <w:r>
        <w:separator/>
      </w:r>
    </w:p>
  </w:endnote>
  <w:endnote w:type="continuationSeparator" w:id="0">
    <w:p w14:paraId="63E7438E" w14:textId="77777777" w:rsidR="003F7BE2" w:rsidRDefault="003F7BE2"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E4C" w14:textId="77777777" w:rsidR="00936DF2" w:rsidRPr="00BA5F55" w:rsidRDefault="00936DF2" w:rsidP="00936DF2">
    <w:pPr>
      <w:pStyle w:val="Sidfot"/>
      <w:spacing w:before="0"/>
      <w:jc w:val="right"/>
      <w:rPr>
        <w:b/>
        <w:bCs/>
      </w:rPr>
    </w:pPr>
    <w:r w:rsidRPr="00BA5F55">
      <w:rPr>
        <w:b/>
        <w:bCs/>
      </w:rPr>
      <w:t>Kliniska Studier Sverige</w:t>
    </w:r>
  </w:p>
  <w:p w14:paraId="01620152" w14:textId="709C1D56" w:rsidR="00936DF2" w:rsidRDefault="00936DF2" w:rsidP="00936DF2">
    <w:pPr>
      <w:pStyle w:val="Sidfot"/>
      <w:spacing w:before="0"/>
      <w:jc w:val="right"/>
    </w:pPr>
    <w:r>
      <w:t>Version 1, 2022-03-21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0FDA" w14:textId="77777777" w:rsidR="00936DF2" w:rsidRDefault="00936DF2" w:rsidP="00400E47">
    <w:pPr>
      <w:pStyle w:val="Sidfo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64755"/>
      <w:docPartObj>
        <w:docPartGallery w:val="Page Numbers (Bottom of Page)"/>
        <w:docPartUnique/>
      </w:docPartObj>
    </w:sdtPr>
    <w:sdtEndPr>
      <w:rPr>
        <w:noProof/>
      </w:rPr>
    </w:sdtEndPr>
    <w:sdtContent>
      <w:p w14:paraId="0159A7BD" w14:textId="77777777" w:rsidR="00C16E13" w:rsidRDefault="00C16E13" w:rsidP="00C16E13">
        <w:pPr>
          <w:pStyle w:val="Sidfot"/>
          <w:jc w:val="right"/>
          <w:rPr>
            <w:noProof/>
          </w:rPr>
        </w:pPr>
        <w:r w:rsidRPr="006C1CCA">
          <w:rPr>
            <w:sz w:val="20"/>
            <w:szCs w:val="20"/>
          </w:rPr>
          <w:fldChar w:fldCharType="begin"/>
        </w:r>
        <w:r w:rsidRPr="006C1CCA">
          <w:rPr>
            <w:sz w:val="20"/>
            <w:szCs w:val="20"/>
          </w:rPr>
          <w:instrText>PAGE  \* Arabic  \* MERGEFORMAT</w:instrText>
        </w:r>
        <w:r w:rsidRPr="006C1CCA">
          <w:rPr>
            <w:sz w:val="20"/>
            <w:szCs w:val="20"/>
          </w:rPr>
          <w:fldChar w:fldCharType="separate"/>
        </w:r>
        <w:r>
          <w:rPr>
            <w:sz w:val="20"/>
            <w:szCs w:val="20"/>
          </w:rPr>
          <w:t>2</w:t>
        </w:r>
        <w:r w:rsidRPr="006C1CCA">
          <w:rPr>
            <w:sz w:val="20"/>
            <w:szCs w:val="20"/>
          </w:rPr>
          <w:fldChar w:fldCharType="end"/>
        </w:r>
        <w:r w:rsidRPr="006C1CCA">
          <w:rPr>
            <w:sz w:val="20"/>
            <w:szCs w:val="20"/>
          </w:rPr>
          <w:t xml:space="preserve"> (</w:t>
        </w:r>
        <w:r w:rsidRPr="006C1CCA">
          <w:rPr>
            <w:sz w:val="20"/>
            <w:szCs w:val="20"/>
          </w:rPr>
          <w:fldChar w:fldCharType="begin"/>
        </w:r>
        <w:r w:rsidRPr="006C1CCA">
          <w:rPr>
            <w:sz w:val="20"/>
            <w:szCs w:val="20"/>
          </w:rPr>
          <w:instrText>NUMPAGES  \* Arabic  \* MERGEFORMAT</w:instrText>
        </w:r>
        <w:r w:rsidRPr="006C1CCA">
          <w:rPr>
            <w:sz w:val="20"/>
            <w:szCs w:val="20"/>
          </w:rPr>
          <w:fldChar w:fldCharType="separate"/>
        </w:r>
        <w:r>
          <w:rPr>
            <w:sz w:val="20"/>
            <w:szCs w:val="20"/>
          </w:rPr>
          <w:t>23</w:t>
        </w:r>
        <w:r w:rsidRPr="006C1CCA">
          <w:rPr>
            <w:sz w:val="20"/>
            <w:szCs w:val="20"/>
          </w:rPr>
          <w:fldChar w:fldCharType="end"/>
        </w:r>
        <w:r w:rsidRPr="006C1CCA">
          <w:rPr>
            <w:sz w:val="20"/>
            <w:szCs w:val="20"/>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3025" w14:textId="77777777" w:rsidR="00C332D1" w:rsidRPr="00BA5F55" w:rsidRDefault="00C332D1" w:rsidP="00C332D1">
    <w:pPr>
      <w:pStyle w:val="Sidfot"/>
      <w:jc w:val="right"/>
      <w:rPr>
        <w:b/>
        <w:bCs/>
      </w:rPr>
    </w:pPr>
    <w:r w:rsidRPr="00BA5F55">
      <w:rPr>
        <w:b/>
        <w:bCs/>
      </w:rPr>
      <w:t>Kliniska Studier Sverige</w:t>
    </w:r>
  </w:p>
  <w:p w14:paraId="529FC7CB" w14:textId="77777777" w:rsidR="00C332D1" w:rsidRDefault="00C332D1" w:rsidP="00C332D1">
    <w:pPr>
      <w:pStyle w:val="Sidfot"/>
      <w:jc w:val="right"/>
    </w:pPr>
    <w:r>
      <w:t>Version 1, 2022-03-21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7342" w14:textId="024A886B" w:rsidR="00C332D1" w:rsidRPr="00C332D1" w:rsidRDefault="00C332D1" w:rsidP="00C332D1">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00010"/>
      <w:docPartObj>
        <w:docPartGallery w:val="Page Numbers (Bottom of Page)"/>
        <w:docPartUnique/>
      </w:docPartObj>
    </w:sdtPr>
    <w:sdtEndPr>
      <w:rPr>
        <w:noProof/>
      </w:rPr>
    </w:sdtEndPr>
    <w:sdtContent>
      <w:p w14:paraId="19E89189" w14:textId="7FA03AD2" w:rsidR="00F8078F" w:rsidRPr="00EF086C" w:rsidRDefault="00EF086C" w:rsidP="00EF086C">
        <w:pPr>
          <w:pStyle w:val="Sidfot"/>
          <w:jc w:val="right"/>
          <w:rPr>
            <w:sz w:val="20"/>
            <w:szCs w:val="20"/>
          </w:rPr>
        </w:pPr>
        <w:r w:rsidRPr="006C1CCA">
          <w:rPr>
            <w:sz w:val="20"/>
            <w:szCs w:val="20"/>
          </w:rPr>
          <w:fldChar w:fldCharType="begin"/>
        </w:r>
        <w:r w:rsidRPr="006C1CCA">
          <w:rPr>
            <w:sz w:val="20"/>
            <w:szCs w:val="20"/>
          </w:rPr>
          <w:instrText>PAGE  \* Arabic  \* MERGEFORMAT</w:instrText>
        </w:r>
        <w:r w:rsidRPr="006C1CCA">
          <w:rPr>
            <w:sz w:val="20"/>
            <w:szCs w:val="20"/>
          </w:rPr>
          <w:fldChar w:fldCharType="separate"/>
        </w:r>
        <w:r>
          <w:rPr>
            <w:sz w:val="20"/>
            <w:szCs w:val="20"/>
          </w:rPr>
          <w:t>2</w:t>
        </w:r>
        <w:r w:rsidRPr="006C1CCA">
          <w:rPr>
            <w:sz w:val="20"/>
            <w:szCs w:val="20"/>
          </w:rPr>
          <w:fldChar w:fldCharType="end"/>
        </w:r>
        <w:r w:rsidRPr="006C1CCA">
          <w:rPr>
            <w:sz w:val="20"/>
            <w:szCs w:val="20"/>
          </w:rPr>
          <w:t xml:space="preserve"> (</w:t>
        </w:r>
        <w:r w:rsidRPr="006C1CCA">
          <w:rPr>
            <w:sz w:val="20"/>
            <w:szCs w:val="20"/>
          </w:rPr>
          <w:fldChar w:fldCharType="begin"/>
        </w:r>
        <w:r w:rsidRPr="006C1CCA">
          <w:rPr>
            <w:sz w:val="20"/>
            <w:szCs w:val="20"/>
          </w:rPr>
          <w:instrText>NUMPAGES  \* Arabic  \* MERGEFORMAT</w:instrText>
        </w:r>
        <w:r w:rsidRPr="006C1CCA">
          <w:rPr>
            <w:sz w:val="20"/>
            <w:szCs w:val="20"/>
          </w:rPr>
          <w:fldChar w:fldCharType="separate"/>
        </w:r>
        <w:r>
          <w:rPr>
            <w:sz w:val="20"/>
            <w:szCs w:val="20"/>
          </w:rPr>
          <w:t>23</w:t>
        </w:r>
        <w:r w:rsidRPr="006C1CCA">
          <w:rPr>
            <w:sz w:val="20"/>
            <w:szCs w:val="20"/>
          </w:rPr>
          <w:fldChar w:fldCharType="end"/>
        </w:r>
        <w:r w:rsidRPr="006C1CCA">
          <w:rPr>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000A" w14:textId="77777777" w:rsidR="003F7BE2" w:rsidRDefault="003F7BE2" w:rsidP="004601FB">
      <w:pPr>
        <w:spacing w:after="0" w:line="240" w:lineRule="auto"/>
      </w:pPr>
      <w:r>
        <w:separator/>
      </w:r>
    </w:p>
  </w:footnote>
  <w:footnote w:type="continuationSeparator" w:id="0">
    <w:p w14:paraId="051D1E1A" w14:textId="77777777" w:rsidR="003F7BE2" w:rsidRDefault="003F7BE2"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1B31" w14:textId="135F1A5A" w:rsidR="00936DF2" w:rsidRDefault="00EF086C" w:rsidP="00936DF2">
    <w:pPr>
      <w:pStyle w:val="Sidhuvud"/>
      <w:spacing w:before="0"/>
    </w:pPr>
    <w:r>
      <w:rPr>
        <w:noProof/>
      </w:rPr>
      <w:drawing>
        <wp:inline distT="0" distB="0" distL="0" distR="0" wp14:anchorId="42829FD9" wp14:editId="45D4DBA3">
          <wp:extent cx="2846070" cy="577850"/>
          <wp:effectExtent l="0" t="0" r="0" b="0"/>
          <wp:docPr id="17" name="Bildobjekt 1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056E" w14:textId="77777777" w:rsidR="00936DF2" w:rsidRDefault="00936DF2" w:rsidP="00400E47">
    <w:pPr>
      <w:pStyle w:val="Sidhuvud"/>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E570" w14:textId="542261AB" w:rsidR="00C16E13" w:rsidRDefault="00C332D1" w:rsidP="00936DF2">
    <w:pPr>
      <w:pStyle w:val="Sidhuvud"/>
      <w:spacing w:before="0"/>
    </w:pPr>
    <w:r>
      <w:rPr>
        <w:noProof/>
      </w:rPr>
      <w:drawing>
        <wp:inline distT="0" distB="0" distL="0" distR="0" wp14:anchorId="4609AE32" wp14:editId="60E32A17">
          <wp:extent cx="2846070" cy="577850"/>
          <wp:effectExtent l="0" t="0" r="0" b="0"/>
          <wp:docPr id="6" name="Bildobjekt 1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4149" w14:textId="5BB5711F" w:rsidR="00936DF2" w:rsidRPr="00400E47" w:rsidRDefault="00C332D1" w:rsidP="002A743D">
    <w:pPr>
      <w:pStyle w:val="Sidhuvud"/>
      <w:tabs>
        <w:tab w:val="clear" w:pos="4536"/>
        <w:tab w:val="clear" w:pos="9072"/>
      </w:tabs>
      <w:spacing w:before="0" w:after="100" w:afterAutospacing="1"/>
      <w:ind w:right="-699"/>
      <w:jc w:val="right"/>
    </w:pPr>
    <w:r>
      <w:rPr>
        <w:noProof/>
      </w:rPr>
      <w:drawing>
        <wp:inline distT="0" distB="0" distL="0" distR="0" wp14:anchorId="5AC194F1" wp14:editId="2F44E777">
          <wp:extent cx="2846070" cy="577850"/>
          <wp:effectExtent l="0" t="0" r="0" b="0"/>
          <wp:docPr id="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4DED" w14:textId="1E7B3DDB" w:rsidR="00C332D1" w:rsidRPr="00400E47" w:rsidRDefault="00C332D1" w:rsidP="00400E4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A4F" w14:textId="4E529AD8" w:rsidR="002A743D" w:rsidRDefault="002A743D" w:rsidP="00936DF2">
    <w:pPr>
      <w:pStyle w:val="Sidhuvud"/>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C27"/>
    <w:multiLevelType w:val="multilevel"/>
    <w:tmpl w:val="6690F9FA"/>
    <w:lvl w:ilvl="0">
      <w:start w:val="1"/>
      <w:numFmt w:val="decimal"/>
      <w:lvlText w:val="%1"/>
      <w:lvlJc w:val="left"/>
      <w:pPr>
        <w:ind w:left="360" w:hanging="360"/>
      </w:pPr>
      <w:rPr>
        <w:rFonts w:hint="default"/>
        <w:b/>
        <w:bCs/>
        <w:i w:val="0"/>
        <w:sz w:val="22"/>
        <w:szCs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F30259"/>
    <w:multiLevelType w:val="multilevel"/>
    <w:tmpl w:val="09C4117A"/>
    <w:lvl w:ilvl="0">
      <w:start w:val="7"/>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4153D0"/>
    <w:multiLevelType w:val="multilevel"/>
    <w:tmpl w:val="BD02808E"/>
    <w:lvl w:ilvl="0">
      <w:start w:val="4"/>
      <w:numFmt w:val="decimal"/>
      <w:lvlText w:val="%1"/>
      <w:lvlJc w:val="left"/>
      <w:pPr>
        <w:ind w:left="360" w:hanging="360"/>
      </w:pPr>
      <w:rPr>
        <w:rFonts w:hint="default"/>
        <w:b/>
        <w:bCs/>
        <w:i w:val="0"/>
        <w:sz w:val="22"/>
        <w:szCs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CD06ED"/>
    <w:multiLevelType w:val="multilevel"/>
    <w:tmpl w:val="A190A8A6"/>
    <w:lvl w:ilvl="0">
      <w:start w:val="1"/>
      <w:numFmt w:val="decimal"/>
      <w:pStyle w:val="Rubrik2"/>
      <w:lvlText w:val="%1."/>
      <w:lvlJc w:val="center"/>
      <w:pPr>
        <w:ind w:left="0" w:firstLine="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19F61548"/>
    <w:multiLevelType w:val="hybridMultilevel"/>
    <w:tmpl w:val="3CA6116E"/>
    <w:lvl w:ilvl="0" w:tplc="41BC2DB4">
      <w:start w:val="14"/>
      <w:numFmt w:val="bullet"/>
      <w:lvlText w:val="-"/>
      <w:lvlJc w:val="left"/>
      <w:pPr>
        <w:ind w:left="749" w:hanging="360"/>
      </w:pPr>
      <w:rPr>
        <w:rFonts w:ascii="Arial" w:eastAsiaTheme="minorHAnsi" w:hAnsi="Arial" w:cs="Aria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 w15:restartNumberingAfterBreak="0">
    <w:nsid w:val="217420F1"/>
    <w:multiLevelType w:val="multilevel"/>
    <w:tmpl w:val="0AA6D212"/>
    <w:lvl w:ilvl="0">
      <w:start w:val="6"/>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E51274"/>
    <w:multiLevelType w:val="hybridMultilevel"/>
    <w:tmpl w:val="1FE29A0C"/>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D5057"/>
    <w:multiLevelType w:val="multilevel"/>
    <w:tmpl w:val="BF222268"/>
    <w:lvl w:ilvl="0">
      <w:start w:val="2"/>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50336C"/>
    <w:multiLevelType w:val="hybridMultilevel"/>
    <w:tmpl w:val="1FE29A0C"/>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B7B27"/>
    <w:multiLevelType w:val="multilevel"/>
    <w:tmpl w:val="040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F93B32"/>
    <w:multiLevelType w:val="hybridMultilevel"/>
    <w:tmpl w:val="4BAEDE8C"/>
    <w:lvl w:ilvl="0" w:tplc="04090001">
      <w:start w:val="1"/>
      <w:numFmt w:val="bullet"/>
      <w:lvlText w:val=""/>
      <w:lvlJc w:val="left"/>
      <w:pPr>
        <w:ind w:left="720" w:hanging="360"/>
      </w:pPr>
      <w:rPr>
        <w:rFonts w:ascii="Symbol" w:hAnsi="Symbol"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5679E0"/>
    <w:multiLevelType w:val="multilevel"/>
    <w:tmpl w:val="9FDA01E0"/>
    <w:lvl w:ilvl="0">
      <w:start w:val="3"/>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FD25C6"/>
    <w:multiLevelType w:val="hybridMultilevel"/>
    <w:tmpl w:val="6B6CA7B6"/>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23A87"/>
    <w:multiLevelType w:val="hybridMultilevel"/>
    <w:tmpl w:val="E0A2622E"/>
    <w:lvl w:ilvl="0" w:tplc="8E3058BA">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A03E2"/>
    <w:multiLevelType w:val="multilevel"/>
    <w:tmpl w:val="7CBA6A38"/>
    <w:lvl w:ilvl="0">
      <w:start w:val="5"/>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C24035"/>
    <w:multiLevelType w:val="multilevel"/>
    <w:tmpl w:val="4DC28510"/>
    <w:lvl w:ilvl="0">
      <w:start w:val="1"/>
      <w:numFmt w:val="decimal"/>
      <w:pStyle w:val="Rubrik3"/>
      <w:lvlText w:val="%1."/>
      <w:lvlJc w:val="left"/>
      <w:pPr>
        <w:ind w:left="360" w:hanging="360"/>
      </w:pPr>
      <w:rPr>
        <w:rFonts w:hint="default"/>
        <w:b/>
        <w:bCs/>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2B2399"/>
    <w:multiLevelType w:val="hybridMultilevel"/>
    <w:tmpl w:val="B47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D4F24"/>
    <w:multiLevelType w:val="hybridMultilevel"/>
    <w:tmpl w:val="012683BC"/>
    <w:lvl w:ilvl="0" w:tplc="41BC2DB4">
      <w:start w:val="14"/>
      <w:numFmt w:val="bullet"/>
      <w:lvlText w:val="-"/>
      <w:lvlJc w:val="left"/>
      <w:pPr>
        <w:ind w:left="720" w:hanging="360"/>
      </w:pPr>
      <w:rPr>
        <w:rFonts w:ascii="Arial" w:eastAsiaTheme="minorHAnsi" w:hAnsi="Arial" w:cs="Arial"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B62189"/>
    <w:multiLevelType w:val="multilevel"/>
    <w:tmpl w:val="7CBA6A38"/>
    <w:lvl w:ilvl="0">
      <w:start w:val="5"/>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AC59A9"/>
    <w:multiLevelType w:val="hybridMultilevel"/>
    <w:tmpl w:val="390035AA"/>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06246"/>
    <w:multiLevelType w:val="hybridMultilevel"/>
    <w:tmpl w:val="E7DA255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15:restartNumberingAfterBreak="0">
    <w:nsid w:val="5CFC7938"/>
    <w:multiLevelType w:val="hybridMultilevel"/>
    <w:tmpl w:val="07FCAF90"/>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E66AB"/>
    <w:multiLevelType w:val="hybridMultilevel"/>
    <w:tmpl w:val="F9D0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3C6A"/>
    <w:multiLevelType w:val="hybridMultilevel"/>
    <w:tmpl w:val="F446B92E"/>
    <w:lvl w:ilvl="0" w:tplc="D3A636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D094E"/>
    <w:multiLevelType w:val="hybridMultilevel"/>
    <w:tmpl w:val="07FCAF90"/>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5387E"/>
    <w:multiLevelType w:val="multilevel"/>
    <w:tmpl w:val="6970673E"/>
    <w:lvl w:ilvl="0">
      <w:start w:val="1"/>
      <w:numFmt w:val="decimal"/>
      <w:lvlText w:val="%1."/>
      <w:lvlJc w:val="left"/>
      <w:pPr>
        <w:ind w:left="360" w:hanging="360"/>
      </w:pPr>
      <w:rPr>
        <w:rFonts w:hint="default"/>
        <w:sz w:val="22"/>
        <w:szCs w:val="22"/>
        <w:lang w:val="sv-SE"/>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B259C8"/>
    <w:multiLevelType w:val="multilevel"/>
    <w:tmpl w:val="48181096"/>
    <w:lvl w:ilvl="0">
      <w:start w:val="1"/>
      <w:numFmt w:val="decimal"/>
      <w:lvlText w:val="%1"/>
      <w:lvlJc w:val="left"/>
      <w:pPr>
        <w:ind w:left="360" w:hanging="360"/>
      </w:pPr>
      <w:rPr>
        <w:rFonts w:hint="default"/>
        <w:b/>
        <w:bCs/>
        <w:i w:val="0"/>
        <w:sz w:val="22"/>
        <w:szCs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B96BD8"/>
    <w:multiLevelType w:val="multilevel"/>
    <w:tmpl w:val="DF6850FE"/>
    <w:lvl w:ilvl="0">
      <w:start w:val="1"/>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1A1040"/>
    <w:multiLevelType w:val="hybridMultilevel"/>
    <w:tmpl w:val="07FCAF90"/>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96ECD"/>
    <w:multiLevelType w:val="hybridMultilevel"/>
    <w:tmpl w:val="7BAACF82"/>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3"/>
  </w:num>
  <w:num w:numId="4">
    <w:abstractNumId w:val="16"/>
  </w:num>
  <w:num w:numId="5">
    <w:abstractNumId w:val="22"/>
  </w:num>
  <w:num w:numId="6">
    <w:abstractNumId w:val="20"/>
  </w:num>
  <w:num w:numId="7">
    <w:abstractNumId w:val="10"/>
  </w:num>
  <w:num w:numId="8">
    <w:abstractNumId w:val="15"/>
  </w:num>
  <w:num w:numId="9">
    <w:abstractNumId w:val="9"/>
  </w:num>
  <w:num w:numId="10">
    <w:abstractNumId w:val="26"/>
  </w:num>
  <w:num w:numId="11">
    <w:abstractNumId w:val="3"/>
  </w:num>
  <w:num w:numId="12">
    <w:abstractNumId w:val="21"/>
  </w:num>
  <w:num w:numId="13">
    <w:abstractNumId w:val="24"/>
  </w:num>
  <w:num w:numId="14">
    <w:abstractNumId w:val="12"/>
  </w:num>
  <w:num w:numId="15">
    <w:abstractNumId w:val="23"/>
  </w:num>
  <w:num w:numId="16">
    <w:abstractNumId w:val="6"/>
  </w:num>
  <w:num w:numId="17">
    <w:abstractNumId w:val="8"/>
  </w:num>
  <w:num w:numId="18">
    <w:abstractNumId w:val="27"/>
  </w:num>
  <w:num w:numId="19">
    <w:abstractNumId w:val="0"/>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18"/>
  </w:num>
  <w:num w:numId="25">
    <w:abstractNumId w:val="5"/>
  </w:num>
  <w:num w:numId="26">
    <w:abstractNumId w:val="1"/>
  </w:num>
  <w:num w:numId="27">
    <w:abstractNumId w:val="14"/>
  </w:num>
  <w:num w:numId="28">
    <w:abstractNumId w:val="29"/>
  </w:num>
  <w:num w:numId="29">
    <w:abstractNumId w:val="19"/>
  </w:num>
  <w:num w:numId="30">
    <w:abstractNumId w:val="17"/>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3F"/>
    <w:rsid w:val="00000BF5"/>
    <w:rsid w:val="000011AE"/>
    <w:rsid w:val="000011C5"/>
    <w:rsid w:val="00001D0B"/>
    <w:rsid w:val="000064AF"/>
    <w:rsid w:val="00006712"/>
    <w:rsid w:val="00006869"/>
    <w:rsid w:val="000162BB"/>
    <w:rsid w:val="0002161C"/>
    <w:rsid w:val="00021A9B"/>
    <w:rsid w:val="000261AD"/>
    <w:rsid w:val="00027B75"/>
    <w:rsid w:val="000342DB"/>
    <w:rsid w:val="00035672"/>
    <w:rsid w:val="00043EC3"/>
    <w:rsid w:val="000556EF"/>
    <w:rsid w:val="00057579"/>
    <w:rsid w:val="00060E0F"/>
    <w:rsid w:val="000637B9"/>
    <w:rsid w:val="00066C42"/>
    <w:rsid w:val="00066C60"/>
    <w:rsid w:val="00071404"/>
    <w:rsid w:val="000774D6"/>
    <w:rsid w:val="00084F60"/>
    <w:rsid w:val="0009424D"/>
    <w:rsid w:val="000A2C5D"/>
    <w:rsid w:val="000A461D"/>
    <w:rsid w:val="000B055A"/>
    <w:rsid w:val="000B7279"/>
    <w:rsid w:val="000C465D"/>
    <w:rsid w:val="000C6703"/>
    <w:rsid w:val="000C7C55"/>
    <w:rsid w:val="000D130F"/>
    <w:rsid w:val="000D4767"/>
    <w:rsid w:val="000D7DA8"/>
    <w:rsid w:val="000E5E24"/>
    <w:rsid w:val="000E663D"/>
    <w:rsid w:val="000F1F4C"/>
    <w:rsid w:val="000F6775"/>
    <w:rsid w:val="000F7FA4"/>
    <w:rsid w:val="0010219D"/>
    <w:rsid w:val="0011013E"/>
    <w:rsid w:val="0011073F"/>
    <w:rsid w:val="00113CF7"/>
    <w:rsid w:val="00114EFD"/>
    <w:rsid w:val="00120924"/>
    <w:rsid w:val="00120ACA"/>
    <w:rsid w:val="00127501"/>
    <w:rsid w:val="0013565F"/>
    <w:rsid w:val="00136346"/>
    <w:rsid w:val="0014104D"/>
    <w:rsid w:val="0015185A"/>
    <w:rsid w:val="0015269D"/>
    <w:rsid w:val="00153C5D"/>
    <w:rsid w:val="00155979"/>
    <w:rsid w:val="001560A4"/>
    <w:rsid w:val="0016111C"/>
    <w:rsid w:val="0017404C"/>
    <w:rsid w:val="00175168"/>
    <w:rsid w:val="00183C31"/>
    <w:rsid w:val="001932D8"/>
    <w:rsid w:val="0019485B"/>
    <w:rsid w:val="001A55C6"/>
    <w:rsid w:val="001B24D8"/>
    <w:rsid w:val="001C14DA"/>
    <w:rsid w:val="001C1D17"/>
    <w:rsid w:val="001C3BAE"/>
    <w:rsid w:val="001C4025"/>
    <w:rsid w:val="001C41CF"/>
    <w:rsid w:val="001C5809"/>
    <w:rsid w:val="001C5EEF"/>
    <w:rsid w:val="001D0F92"/>
    <w:rsid w:val="001D2BFE"/>
    <w:rsid w:val="001D4140"/>
    <w:rsid w:val="001D652A"/>
    <w:rsid w:val="001E0544"/>
    <w:rsid w:val="001F2D41"/>
    <w:rsid w:val="002001B6"/>
    <w:rsid w:val="002143DE"/>
    <w:rsid w:val="00215598"/>
    <w:rsid w:val="00216F63"/>
    <w:rsid w:val="00226709"/>
    <w:rsid w:val="002277C5"/>
    <w:rsid w:val="0023724B"/>
    <w:rsid w:val="002433E8"/>
    <w:rsid w:val="00243595"/>
    <w:rsid w:val="002438A2"/>
    <w:rsid w:val="0025202C"/>
    <w:rsid w:val="00255ABF"/>
    <w:rsid w:val="002563A0"/>
    <w:rsid w:val="0025734B"/>
    <w:rsid w:val="002621DE"/>
    <w:rsid w:val="002622FA"/>
    <w:rsid w:val="002705CE"/>
    <w:rsid w:val="00272957"/>
    <w:rsid w:val="00274469"/>
    <w:rsid w:val="00275AD4"/>
    <w:rsid w:val="00277439"/>
    <w:rsid w:val="00281696"/>
    <w:rsid w:val="002902F2"/>
    <w:rsid w:val="00290F5B"/>
    <w:rsid w:val="00290FF1"/>
    <w:rsid w:val="002915D9"/>
    <w:rsid w:val="00297F6E"/>
    <w:rsid w:val="002A225D"/>
    <w:rsid w:val="002A4ACA"/>
    <w:rsid w:val="002A50D9"/>
    <w:rsid w:val="002A743D"/>
    <w:rsid w:val="002A7954"/>
    <w:rsid w:val="002B5438"/>
    <w:rsid w:val="002B5DF9"/>
    <w:rsid w:val="002C168E"/>
    <w:rsid w:val="002C1872"/>
    <w:rsid w:val="002C3055"/>
    <w:rsid w:val="002D46AE"/>
    <w:rsid w:val="002E4D65"/>
    <w:rsid w:val="002E538E"/>
    <w:rsid w:val="002F254C"/>
    <w:rsid w:val="00301445"/>
    <w:rsid w:val="003155FC"/>
    <w:rsid w:val="00315B84"/>
    <w:rsid w:val="003169CE"/>
    <w:rsid w:val="00321F0C"/>
    <w:rsid w:val="00330B6F"/>
    <w:rsid w:val="00331F9A"/>
    <w:rsid w:val="00332CB9"/>
    <w:rsid w:val="00334A6C"/>
    <w:rsid w:val="0034366C"/>
    <w:rsid w:val="003466E6"/>
    <w:rsid w:val="00347181"/>
    <w:rsid w:val="003471B5"/>
    <w:rsid w:val="00352E06"/>
    <w:rsid w:val="00352E7B"/>
    <w:rsid w:val="00355D99"/>
    <w:rsid w:val="00357241"/>
    <w:rsid w:val="00360062"/>
    <w:rsid w:val="003612A9"/>
    <w:rsid w:val="00361E91"/>
    <w:rsid w:val="00363115"/>
    <w:rsid w:val="00364652"/>
    <w:rsid w:val="003646B8"/>
    <w:rsid w:val="00366AE8"/>
    <w:rsid w:val="00371443"/>
    <w:rsid w:val="00383291"/>
    <w:rsid w:val="00391091"/>
    <w:rsid w:val="0039142D"/>
    <w:rsid w:val="0039763F"/>
    <w:rsid w:val="003A18EE"/>
    <w:rsid w:val="003A6C57"/>
    <w:rsid w:val="003B6409"/>
    <w:rsid w:val="003B739E"/>
    <w:rsid w:val="003C0CD2"/>
    <w:rsid w:val="003C601E"/>
    <w:rsid w:val="003D4B66"/>
    <w:rsid w:val="003D54C2"/>
    <w:rsid w:val="003D5FA5"/>
    <w:rsid w:val="003E130E"/>
    <w:rsid w:val="003E13FA"/>
    <w:rsid w:val="003E28E7"/>
    <w:rsid w:val="003E3503"/>
    <w:rsid w:val="003F5399"/>
    <w:rsid w:val="003F7BE2"/>
    <w:rsid w:val="00400E47"/>
    <w:rsid w:val="00401934"/>
    <w:rsid w:val="0040193D"/>
    <w:rsid w:val="00402FA1"/>
    <w:rsid w:val="0040566C"/>
    <w:rsid w:val="00407420"/>
    <w:rsid w:val="00416DAD"/>
    <w:rsid w:val="004200CC"/>
    <w:rsid w:val="0042057B"/>
    <w:rsid w:val="0042150A"/>
    <w:rsid w:val="0042466C"/>
    <w:rsid w:val="00425B9A"/>
    <w:rsid w:val="00426323"/>
    <w:rsid w:val="0042791B"/>
    <w:rsid w:val="004303F9"/>
    <w:rsid w:val="00443A33"/>
    <w:rsid w:val="00443C15"/>
    <w:rsid w:val="00444D42"/>
    <w:rsid w:val="00445EA5"/>
    <w:rsid w:val="0045208F"/>
    <w:rsid w:val="0045415A"/>
    <w:rsid w:val="00457C88"/>
    <w:rsid w:val="004601FB"/>
    <w:rsid w:val="00460A43"/>
    <w:rsid w:val="00466024"/>
    <w:rsid w:val="00470158"/>
    <w:rsid w:val="00473047"/>
    <w:rsid w:val="004760A7"/>
    <w:rsid w:val="004844BF"/>
    <w:rsid w:val="00492D15"/>
    <w:rsid w:val="00494325"/>
    <w:rsid w:val="00495A59"/>
    <w:rsid w:val="00495F03"/>
    <w:rsid w:val="004970C9"/>
    <w:rsid w:val="004A1051"/>
    <w:rsid w:val="004A60C2"/>
    <w:rsid w:val="004B1052"/>
    <w:rsid w:val="004B12AB"/>
    <w:rsid w:val="004B4D88"/>
    <w:rsid w:val="004B55C4"/>
    <w:rsid w:val="004B579C"/>
    <w:rsid w:val="004C07D4"/>
    <w:rsid w:val="004C71C0"/>
    <w:rsid w:val="004C7D62"/>
    <w:rsid w:val="004D7B80"/>
    <w:rsid w:val="004E1691"/>
    <w:rsid w:val="004E1968"/>
    <w:rsid w:val="004E2082"/>
    <w:rsid w:val="004E263E"/>
    <w:rsid w:val="004E294B"/>
    <w:rsid w:val="004E2C77"/>
    <w:rsid w:val="004E2E38"/>
    <w:rsid w:val="004E724C"/>
    <w:rsid w:val="004F1565"/>
    <w:rsid w:val="004F7DF2"/>
    <w:rsid w:val="00500729"/>
    <w:rsid w:val="005008B9"/>
    <w:rsid w:val="00502A36"/>
    <w:rsid w:val="00505A99"/>
    <w:rsid w:val="00514548"/>
    <w:rsid w:val="00514B4B"/>
    <w:rsid w:val="005366CD"/>
    <w:rsid w:val="00537A33"/>
    <w:rsid w:val="00551A5F"/>
    <w:rsid w:val="00555937"/>
    <w:rsid w:val="005615BE"/>
    <w:rsid w:val="00562CDF"/>
    <w:rsid w:val="005641F8"/>
    <w:rsid w:val="005651D4"/>
    <w:rsid w:val="00566639"/>
    <w:rsid w:val="005668F3"/>
    <w:rsid w:val="00571E73"/>
    <w:rsid w:val="00572C92"/>
    <w:rsid w:val="00585558"/>
    <w:rsid w:val="00590B4E"/>
    <w:rsid w:val="00597115"/>
    <w:rsid w:val="00597F1A"/>
    <w:rsid w:val="005B1A72"/>
    <w:rsid w:val="005B2347"/>
    <w:rsid w:val="005B2AD1"/>
    <w:rsid w:val="005B46CF"/>
    <w:rsid w:val="005C0B7C"/>
    <w:rsid w:val="005C4588"/>
    <w:rsid w:val="005C4FBB"/>
    <w:rsid w:val="005D09D1"/>
    <w:rsid w:val="005D6ABD"/>
    <w:rsid w:val="005E0B8F"/>
    <w:rsid w:val="005E10BF"/>
    <w:rsid w:val="005E2FF8"/>
    <w:rsid w:val="005E4DC6"/>
    <w:rsid w:val="005E6678"/>
    <w:rsid w:val="005E6F4D"/>
    <w:rsid w:val="005F3F38"/>
    <w:rsid w:val="005F436B"/>
    <w:rsid w:val="005F7566"/>
    <w:rsid w:val="00603651"/>
    <w:rsid w:val="0060741C"/>
    <w:rsid w:val="0062363E"/>
    <w:rsid w:val="00652DD1"/>
    <w:rsid w:val="00653197"/>
    <w:rsid w:val="0065364F"/>
    <w:rsid w:val="00653DE6"/>
    <w:rsid w:val="00661AC2"/>
    <w:rsid w:val="00663075"/>
    <w:rsid w:val="00663AED"/>
    <w:rsid w:val="006651D3"/>
    <w:rsid w:val="006658FB"/>
    <w:rsid w:val="006671F0"/>
    <w:rsid w:val="00672846"/>
    <w:rsid w:val="00673380"/>
    <w:rsid w:val="00675CC0"/>
    <w:rsid w:val="00675F6C"/>
    <w:rsid w:val="00687C0E"/>
    <w:rsid w:val="00693835"/>
    <w:rsid w:val="00694B03"/>
    <w:rsid w:val="006A5F8B"/>
    <w:rsid w:val="006B198F"/>
    <w:rsid w:val="006B522A"/>
    <w:rsid w:val="006C0016"/>
    <w:rsid w:val="006C1021"/>
    <w:rsid w:val="006C1CCA"/>
    <w:rsid w:val="006C6346"/>
    <w:rsid w:val="006D0061"/>
    <w:rsid w:val="006D47FD"/>
    <w:rsid w:val="006D756C"/>
    <w:rsid w:val="006E0B35"/>
    <w:rsid w:val="006E25F1"/>
    <w:rsid w:val="006E4EB7"/>
    <w:rsid w:val="006E67E2"/>
    <w:rsid w:val="006F49D7"/>
    <w:rsid w:val="006F59F3"/>
    <w:rsid w:val="00702E4C"/>
    <w:rsid w:val="0071156A"/>
    <w:rsid w:val="0071161D"/>
    <w:rsid w:val="00712545"/>
    <w:rsid w:val="00716DD1"/>
    <w:rsid w:val="00723DC8"/>
    <w:rsid w:val="00732328"/>
    <w:rsid w:val="00734431"/>
    <w:rsid w:val="00747BD4"/>
    <w:rsid w:val="007504F8"/>
    <w:rsid w:val="007505E4"/>
    <w:rsid w:val="007561CD"/>
    <w:rsid w:val="0076084A"/>
    <w:rsid w:val="007628BE"/>
    <w:rsid w:val="00764F3B"/>
    <w:rsid w:val="007654D9"/>
    <w:rsid w:val="007712C4"/>
    <w:rsid w:val="00774914"/>
    <w:rsid w:val="007765D8"/>
    <w:rsid w:val="0078145C"/>
    <w:rsid w:val="00785AFD"/>
    <w:rsid w:val="00792CE7"/>
    <w:rsid w:val="007A1EBD"/>
    <w:rsid w:val="007B1067"/>
    <w:rsid w:val="007B4CD1"/>
    <w:rsid w:val="007B5E6D"/>
    <w:rsid w:val="007B6DC8"/>
    <w:rsid w:val="007B739D"/>
    <w:rsid w:val="007C1AD5"/>
    <w:rsid w:val="007C4436"/>
    <w:rsid w:val="007C4787"/>
    <w:rsid w:val="007C6A13"/>
    <w:rsid w:val="007D0F04"/>
    <w:rsid w:val="007D46F0"/>
    <w:rsid w:val="007D608C"/>
    <w:rsid w:val="007D6D60"/>
    <w:rsid w:val="007E108F"/>
    <w:rsid w:val="007E1E05"/>
    <w:rsid w:val="007E2BE8"/>
    <w:rsid w:val="007F0C1C"/>
    <w:rsid w:val="007F4D81"/>
    <w:rsid w:val="007F50BE"/>
    <w:rsid w:val="007F58C7"/>
    <w:rsid w:val="007F7303"/>
    <w:rsid w:val="00811F08"/>
    <w:rsid w:val="00813B90"/>
    <w:rsid w:val="00815F6F"/>
    <w:rsid w:val="00816497"/>
    <w:rsid w:val="00826EDA"/>
    <w:rsid w:val="00826F4E"/>
    <w:rsid w:val="00826F55"/>
    <w:rsid w:val="00827763"/>
    <w:rsid w:val="008277EA"/>
    <w:rsid w:val="00831993"/>
    <w:rsid w:val="0083221E"/>
    <w:rsid w:val="00832265"/>
    <w:rsid w:val="0083368A"/>
    <w:rsid w:val="0083605F"/>
    <w:rsid w:val="008405C2"/>
    <w:rsid w:val="00842986"/>
    <w:rsid w:val="008448A8"/>
    <w:rsid w:val="00844E3A"/>
    <w:rsid w:val="0084508B"/>
    <w:rsid w:val="00846B98"/>
    <w:rsid w:val="00847AD0"/>
    <w:rsid w:val="00851E5A"/>
    <w:rsid w:val="00855F8A"/>
    <w:rsid w:val="00856050"/>
    <w:rsid w:val="008620E7"/>
    <w:rsid w:val="008642C9"/>
    <w:rsid w:val="008748D3"/>
    <w:rsid w:val="008771C6"/>
    <w:rsid w:val="00883AD9"/>
    <w:rsid w:val="00885B74"/>
    <w:rsid w:val="00887C02"/>
    <w:rsid w:val="008934BD"/>
    <w:rsid w:val="008A01EC"/>
    <w:rsid w:val="008A08DC"/>
    <w:rsid w:val="008A4164"/>
    <w:rsid w:val="008A56EC"/>
    <w:rsid w:val="008A6648"/>
    <w:rsid w:val="008A7969"/>
    <w:rsid w:val="008B160A"/>
    <w:rsid w:val="008B2A61"/>
    <w:rsid w:val="008C1207"/>
    <w:rsid w:val="008C2231"/>
    <w:rsid w:val="008D3099"/>
    <w:rsid w:val="008D3F3F"/>
    <w:rsid w:val="008D777A"/>
    <w:rsid w:val="008E1A75"/>
    <w:rsid w:val="008E1F8F"/>
    <w:rsid w:val="008E5902"/>
    <w:rsid w:val="008E6E9D"/>
    <w:rsid w:val="008E7823"/>
    <w:rsid w:val="008F124C"/>
    <w:rsid w:val="008F1C5D"/>
    <w:rsid w:val="008F6768"/>
    <w:rsid w:val="008F78F4"/>
    <w:rsid w:val="00903652"/>
    <w:rsid w:val="00910DDB"/>
    <w:rsid w:val="00920ADC"/>
    <w:rsid w:val="00922DCC"/>
    <w:rsid w:val="00923112"/>
    <w:rsid w:val="009237E2"/>
    <w:rsid w:val="009304BB"/>
    <w:rsid w:val="009319D8"/>
    <w:rsid w:val="00931B18"/>
    <w:rsid w:val="009347E0"/>
    <w:rsid w:val="00935141"/>
    <w:rsid w:val="00936DF2"/>
    <w:rsid w:val="00941624"/>
    <w:rsid w:val="00944881"/>
    <w:rsid w:val="00947096"/>
    <w:rsid w:val="0095363A"/>
    <w:rsid w:val="0095567C"/>
    <w:rsid w:val="00955EA7"/>
    <w:rsid w:val="00960D3F"/>
    <w:rsid w:val="00963A29"/>
    <w:rsid w:val="00965B34"/>
    <w:rsid w:val="009714E4"/>
    <w:rsid w:val="00973152"/>
    <w:rsid w:val="0097353C"/>
    <w:rsid w:val="00974A94"/>
    <w:rsid w:val="00976B21"/>
    <w:rsid w:val="00976CE7"/>
    <w:rsid w:val="009802A7"/>
    <w:rsid w:val="0098171E"/>
    <w:rsid w:val="0098322B"/>
    <w:rsid w:val="00985382"/>
    <w:rsid w:val="009855BC"/>
    <w:rsid w:val="00986751"/>
    <w:rsid w:val="00992A30"/>
    <w:rsid w:val="009935C1"/>
    <w:rsid w:val="00995448"/>
    <w:rsid w:val="00995B65"/>
    <w:rsid w:val="009B0EFF"/>
    <w:rsid w:val="009B53B0"/>
    <w:rsid w:val="009B6132"/>
    <w:rsid w:val="009C4006"/>
    <w:rsid w:val="009D3526"/>
    <w:rsid w:val="009D3929"/>
    <w:rsid w:val="009D42E5"/>
    <w:rsid w:val="009D7F14"/>
    <w:rsid w:val="009E06CC"/>
    <w:rsid w:val="009E5482"/>
    <w:rsid w:val="009F4558"/>
    <w:rsid w:val="009F4D39"/>
    <w:rsid w:val="00A00A34"/>
    <w:rsid w:val="00A0312A"/>
    <w:rsid w:val="00A0512B"/>
    <w:rsid w:val="00A11F43"/>
    <w:rsid w:val="00A12BD0"/>
    <w:rsid w:val="00A13469"/>
    <w:rsid w:val="00A14978"/>
    <w:rsid w:val="00A231DE"/>
    <w:rsid w:val="00A2507B"/>
    <w:rsid w:val="00A310EF"/>
    <w:rsid w:val="00A31DDD"/>
    <w:rsid w:val="00A32C68"/>
    <w:rsid w:val="00A423E6"/>
    <w:rsid w:val="00A45BF3"/>
    <w:rsid w:val="00A53472"/>
    <w:rsid w:val="00A53C69"/>
    <w:rsid w:val="00A56246"/>
    <w:rsid w:val="00A57734"/>
    <w:rsid w:val="00A579BB"/>
    <w:rsid w:val="00A631BA"/>
    <w:rsid w:val="00A7562B"/>
    <w:rsid w:val="00A75E11"/>
    <w:rsid w:val="00A76986"/>
    <w:rsid w:val="00A95DC1"/>
    <w:rsid w:val="00A97944"/>
    <w:rsid w:val="00AA11D2"/>
    <w:rsid w:val="00AA3A50"/>
    <w:rsid w:val="00AA6F7C"/>
    <w:rsid w:val="00AB3BC5"/>
    <w:rsid w:val="00AB6703"/>
    <w:rsid w:val="00AB777A"/>
    <w:rsid w:val="00AC2F25"/>
    <w:rsid w:val="00AD452E"/>
    <w:rsid w:val="00AD4F67"/>
    <w:rsid w:val="00AE318F"/>
    <w:rsid w:val="00AE3A7A"/>
    <w:rsid w:val="00AE5572"/>
    <w:rsid w:val="00AF3328"/>
    <w:rsid w:val="00AF468E"/>
    <w:rsid w:val="00AF752B"/>
    <w:rsid w:val="00AF78D3"/>
    <w:rsid w:val="00AF7D40"/>
    <w:rsid w:val="00B001D4"/>
    <w:rsid w:val="00B13076"/>
    <w:rsid w:val="00B151AD"/>
    <w:rsid w:val="00B20A3D"/>
    <w:rsid w:val="00B32208"/>
    <w:rsid w:val="00B34403"/>
    <w:rsid w:val="00B34FD3"/>
    <w:rsid w:val="00B4266C"/>
    <w:rsid w:val="00B43454"/>
    <w:rsid w:val="00B51EE2"/>
    <w:rsid w:val="00B55855"/>
    <w:rsid w:val="00B56091"/>
    <w:rsid w:val="00B5666D"/>
    <w:rsid w:val="00B56992"/>
    <w:rsid w:val="00B724D7"/>
    <w:rsid w:val="00B80BB5"/>
    <w:rsid w:val="00B82F34"/>
    <w:rsid w:val="00B84CA5"/>
    <w:rsid w:val="00B87981"/>
    <w:rsid w:val="00B938CF"/>
    <w:rsid w:val="00B970A2"/>
    <w:rsid w:val="00BA4AEC"/>
    <w:rsid w:val="00BA5F55"/>
    <w:rsid w:val="00BA673F"/>
    <w:rsid w:val="00BB120A"/>
    <w:rsid w:val="00BB4C41"/>
    <w:rsid w:val="00BC496B"/>
    <w:rsid w:val="00BD6A48"/>
    <w:rsid w:val="00BD7D30"/>
    <w:rsid w:val="00BE2B1E"/>
    <w:rsid w:val="00BE54CD"/>
    <w:rsid w:val="00BE55C8"/>
    <w:rsid w:val="00C137F0"/>
    <w:rsid w:val="00C14D17"/>
    <w:rsid w:val="00C16AB7"/>
    <w:rsid w:val="00C16E13"/>
    <w:rsid w:val="00C17B35"/>
    <w:rsid w:val="00C17E1B"/>
    <w:rsid w:val="00C24C77"/>
    <w:rsid w:val="00C26AB6"/>
    <w:rsid w:val="00C32ACD"/>
    <w:rsid w:val="00C332D1"/>
    <w:rsid w:val="00C34734"/>
    <w:rsid w:val="00C41C64"/>
    <w:rsid w:val="00C43404"/>
    <w:rsid w:val="00C43501"/>
    <w:rsid w:val="00C52A9E"/>
    <w:rsid w:val="00C533CA"/>
    <w:rsid w:val="00C55763"/>
    <w:rsid w:val="00C567F8"/>
    <w:rsid w:val="00C605FE"/>
    <w:rsid w:val="00C621FF"/>
    <w:rsid w:val="00C63205"/>
    <w:rsid w:val="00C656D5"/>
    <w:rsid w:val="00C70F8D"/>
    <w:rsid w:val="00C72198"/>
    <w:rsid w:val="00C727E8"/>
    <w:rsid w:val="00C73725"/>
    <w:rsid w:val="00C74FF1"/>
    <w:rsid w:val="00C778C8"/>
    <w:rsid w:val="00C96735"/>
    <w:rsid w:val="00C970F8"/>
    <w:rsid w:val="00CA0384"/>
    <w:rsid w:val="00CA1CE0"/>
    <w:rsid w:val="00CA291C"/>
    <w:rsid w:val="00CA3DDE"/>
    <w:rsid w:val="00CA3FB0"/>
    <w:rsid w:val="00CA41CB"/>
    <w:rsid w:val="00CA5BD2"/>
    <w:rsid w:val="00CA7D58"/>
    <w:rsid w:val="00CB4B87"/>
    <w:rsid w:val="00CC28ED"/>
    <w:rsid w:val="00CE6E38"/>
    <w:rsid w:val="00CF17F5"/>
    <w:rsid w:val="00CF1C96"/>
    <w:rsid w:val="00CF658E"/>
    <w:rsid w:val="00D027AD"/>
    <w:rsid w:val="00D11D56"/>
    <w:rsid w:val="00D167C9"/>
    <w:rsid w:val="00D2778F"/>
    <w:rsid w:val="00D27CBA"/>
    <w:rsid w:val="00D310B7"/>
    <w:rsid w:val="00D42BC5"/>
    <w:rsid w:val="00D4366D"/>
    <w:rsid w:val="00D46E85"/>
    <w:rsid w:val="00D4769F"/>
    <w:rsid w:val="00D5143C"/>
    <w:rsid w:val="00D55050"/>
    <w:rsid w:val="00D604F0"/>
    <w:rsid w:val="00D6208A"/>
    <w:rsid w:val="00D622AE"/>
    <w:rsid w:val="00D6258B"/>
    <w:rsid w:val="00D7045A"/>
    <w:rsid w:val="00D75297"/>
    <w:rsid w:val="00D7777E"/>
    <w:rsid w:val="00D80176"/>
    <w:rsid w:val="00D83C1A"/>
    <w:rsid w:val="00D87B69"/>
    <w:rsid w:val="00D91F34"/>
    <w:rsid w:val="00D9257A"/>
    <w:rsid w:val="00D97668"/>
    <w:rsid w:val="00DA6A60"/>
    <w:rsid w:val="00DA7A57"/>
    <w:rsid w:val="00DB347A"/>
    <w:rsid w:val="00DB7B0E"/>
    <w:rsid w:val="00DC06BF"/>
    <w:rsid w:val="00DC1555"/>
    <w:rsid w:val="00DD0482"/>
    <w:rsid w:val="00DE2D20"/>
    <w:rsid w:val="00DE33FA"/>
    <w:rsid w:val="00DE54F6"/>
    <w:rsid w:val="00DE5C71"/>
    <w:rsid w:val="00DE7822"/>
    <w:rsid w:val="00DF4B1F"/>
    <w:rsid w:val="00DF5D18"/>
    <w:rsid w:val="00E008AD"/>
    <w:rsid w:val="00E00D3F"/>
    <w:rsid w:val="00E02C7A"/>
    <w:rsid w:val="00E05ABE"/>
    <w:rsid w:val="00E06D54"/>
    <w:rsid w:val="00E105FF"/>
    <w:rsid w:val="00E173CD"/>
    <w:rsid w:val="00E17836"/>
    <w:rsid w:val="00E23112"/>
    <w:rsid w:val="00E3755B"/>
    <w:rsid w:val="00E37C68"/>
    <w:rsid w:val="00E42C46"/>
    <w:rsid w:val="00E4423B"/>
    <w:rsid w:val="00E44EE4"/>
    <w:rsid w:val="00E45585"/>
    <w:rsid w:val="00E46299"/>
    <w:rsid w:val="00E4772E"/>
    <w:rsid w:val="00E509EE"/>
    <w:rsid w:val="00E53336"/>
    <w:rsid w:val="00E55D22"/>
    <w:rsid w:val="00E752F7"/>
    <w:rsid w:val="00E84DCF"/>
    <w:rsid w:val="00E93392"/>
    <w:rsid w:val="00E952B0"/>
    <w:rsid w:val="00E95E23"/>
    <w:rsid w:val="00E9642A"/>
    <w:rsid w:val="00E96497"/>
    <w:rsid w:val="00EA39CF"/>
    <w:rsid w:val="00EA3D93"/>
    <w:rsid w:val="00EB0553"/>
    <w:rsid w:val="00EB0CE3"/>
    <w:rsid w:val="00EB6215"/>
    <w:rsid w:val="00EC06D1"/>
    <w:rsid w:val="00EC14D8"/>
    <w:rsid w:val="00EC482A"/>
    <w:rsid w:val="00EC72AA"/>
    <w:rsid w:val="00ED06D0"/>
    <w:rsid w:val="00ED1EDA"/>
    <w:rsid w:val="00ED3EAB"/>
    <w:rsid w:val="00EF086C"/>
    <w:rsid w:val="00EF0E6F"/>
    <w:rsid w:val="00EF4578"/>
    <w:rsid w:val="00EF46D0"/>
    <w:rsid w:val="00EF6E07"/>
    <w:rsid w:val="00F023C5"/>
    <w:rsid w:val="00F034D6"/>
    <w:rsid w:val="00F06F79"/>
    <w:rsid w:val="00F11B10"/>
    <w:rsid w:val="00F202D9"/>
    <w:rsid w:val="00F214BF"/>
    <w:rsid w:val="00F22A1C"/>
    <w:rsid w:val="00F25505"/>
    <w:rsid w:val="00F27A43"/>
    <w:rsid w:val="00F30855"/>
    <w:rsid w:val="00F368A8"/>
    <w:rsid w:val="00F36E2E"/>
    <w:rsid w:val="00F40208"/>
    <w:rsid w:val="00F41125"/>
    <w:rsid w:val="00F41396"/>
    <w:rsid w:val="00F42BB4"/>
    <w:rsid w:val="00F4532F"/>
    <w:rsid w:val="00F478AA"/>
    <w:rsid w:val="00F52FB3"/>
    <w:rsid w:val="00F54AA1"/>
    <w:rsid w:val="00F56290"/>
    <w:rsid w:val="00F56F6B"/>
    <w:rsid w:val="00F61770"/>
    <w:rsid w:val="00F7143B"/>
    <w:rsid w:val="00F8078F"/>
    <w:rsid w:val="00F80B35"/>
    <w:rsid w:val="00F835A3"/>
    <w:rsid w:val="00F940F1"/>
    <w:rsid w:val="00FA16A8"/>
    <w:rsid w:val="00FA16DE"/>
    <w:rsid w:val="00FA4FD5"/>
    <w:rsid w:val="00FA5783"/>
    <w:rsid w:val="00FB2D6F"/>
    <w:rsid w:val="00FB39E8"/>
    <w:rsid w:val="00FB7B2B"/>
    <w:rsid w:val="00FB7CE9"/>
    <w:rsid w:val="00FC3A2A"/>
    <w:rsid w:val="00FC792B"/>
    <w:rsid w:val="00FD253B"/>
    <w:rsid w:val="00FD4442"/>
    <w:rsid w:val="00FE1A6C"/>
    <w:rsid w:val="00FE3E00"/>
    <w:rsid w:val="00FE4CDB"/>
    <w:rsid w:val="00FF0DCD"/>
    <w:rsid w:val="00FF1F3D"/>
    <w:rsid w:val="00FF3008"/>
    <w:rsid w:val="00FF66D8"/>
    <w:rsid w:val="00FF7C35"/>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A9100"/>
  <w15:chartTrackingRefBased/>
  <w15:docId w15:val="{E5C4A5E5-A2D4-48C9-B4D7-6B3CD646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8F6768"/>
    <w:pPr>
      <w:tabs>
        <w:tab w:val="left" w:pos="202"/>
      </w:tabs>
      <w:spacing w:before="360"/>
      <w:ind w:left="173"/>
      <w:outlineLvl w:val="0"/>
    </w:pPr>
  </w:style>
  <w:style w:type="paragraph" w:styleId="Rubrik2">
    <w:name w:val="heading 2"/>
    <w:next w:val="Normal"/>
    <w:link w:val="Rubrik2Char"/>
    <w:uiPriority w:val="9"/>
    <w:unhideWhenUsed/>
    <w:qFormat/>
    <w:rsid w:val="00923112"/>
    <w:pPr>
      <w:numPr>
        <w:numId w:val="11"/>
      </w:numPr>
      <w:spacing w:before="240"/>
      <w:outlineLvl w:val="1"/>
    </w:pPr>
    <w:rPr>
      <w:rFonts w:ascii="Arial" w:hAnsi="Arial" w:cs="Arial"/>
      <w:b/>
      <w:bCs/>
      <w:color w:val="003651" w:themeColor="accent1"/>
      <w:sz w:val="28"/>
      <w:szCs w:val="24"/>
    </w:rPr>
  </w:style>
  <w:style w:type="paragraph" w:styleId="Rubrik3">
    <w:name w:val="heading 3"/>
    <w:basedOn w:val="Liststycke"/>
    <w:next w:val="Normal"/>
    <w:link w:val="Rubrik3Char"/>
    <w:uiPriority w:val="9"/>
    <w:unhideWhenUsed/>
    <w:qFormat/>
    <w:rsid w:val="0025734B"/>
    <w:pPr>
      <w:numPr>
        <w:numId w:val="8"/>
      </w:numPr>
      <w:spacing w:before="0" w:after="280" w:line="240" w:lineRule="auto"/>
      <w:contextualSpacing w:val="0"/>
      <w:outlineLvl w:val="2"/>
    </w:pPr>
    <w:rPr>
      <w:b/>
      <w:bCs/>
      <w:sz w:val="22"/>
      <w:lang w:val="en-US"/>
    </w:rPr>
  </w:style>
  <w:style w:type="paragraph" w:styleId="Rubrik4">
    <w:name w:val="heading 4"/>
    <w:basedOn w:val="Normal"/>
    <w:next w:val="Normal"/>
    <w:link w:val="Rubrik4Char"/>
    <w:uiPriority w:val="9"/>
    <w:unhideWhenUsed/>
    <w:rsid w:val="00E37C68"/>
    <w:pPr>
      <w:ind w:left="922"/>
      <w:outlineLvl w:val="3"/>
    </w:pPr>
    <w:rPr>
      <w:i/>
      <w:sz w:val="2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8F6768"/>
    <w:rPr>
      <w:rFonts w:asciiTheme="majorHAnsi" w:eastAsiaTheme="majorEastAsia" w:hAnsiTheme="majorHAnsi" w:cstheme="majorBidi"/>
      <w:b/>
      <w:color w:val="003651" w:themeColor="accent1"/>
      <w:sz w:val="64"/>
      <w:szCs w:val="72"/>
    </w:rPr>
  </w:style>
  <w:style w:type="character" w:customStyle="1" w:styleId="Rubrik2Char">
    <w:name w:val="Rubrik 2 Char"/>
    <w:basedOn w:val="Standardstycketeckensnitt"/>
    <w:link w:val="Rubrik2"/>
    <w:uiPriority w:val="9"/>
    <w:rsid w:val="00923112"/>
    <w:rPr>
      <w:rFonts w:ascii="Arial" w:hAnsi="Arial" w:cs="Arial"/>
      <w:b/>
      <w:bCs/>
      <w:color w:val="003651" w:themeColor="accent1"/>
      <w:sz w:val="28"/>
      <w:szCs w:val="24"/>
    </w:rPr>
  </w:style>
  <w:style w:type="character" w:customStyle="1" w:styleId="Rubrik3Char">
    <w:name w:val="Rubrik 3 Char"/>
    <w:basedOn w:val="Standardstycketeckensnitt"/>
    <w:link w:val="Rubrik3"/>
    <w:uiPriority w:val="9"/>
    <w:rsid w:val="0025734B"/>
    <w:rPr>
      <w:rFonts w:ascii="Arial" w:hAnsi="Arial" w:cs="Arial"/>
      <w:b/>
      <w:bCs/>
      <w:lang w:val="en-US"/>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A08DC"/>
    <w:pPr>
      <w:tabs>
        <w:tab w:val="left" w:pos="918"/>
        <w:tab w:val="right" w:leader="dot" w:pos="9062"/>
      </w:tabs>
      <w:spacing w:after="100"/>
      <w:ind w:left="245"/>
    </w:pPr>
  </w:style>
  <w:style w:type="paragraph" w:styleId="Innehll2">
    <w:name w:val="toc 2"/>
    <w:basedOn w:val="Normal"/>
    <w:next w:val="Normal"/>
    <w:autoRedefine/>
    <w:uiPriority w:val="39"/>
    <w:unhideWhenUsed/>
    <w:rsid w:val="005E6678"/>
    <w:pPr>
      <w:tabs>
        <w:tab w:val="left" w:pos="880"/>
        <w:tab w:val="right" w:leader="dot" w:pos="9062"/>
      </w:tabs>
      <w:spacing w:before="100" w:after="120"/>
      <w:ind w:left="245"/>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table" w:styleId="Tabellrutnt">
    <w:name w:val="Table Grid"/>
    <w:basedOn w:val="Normaltabell"/>
    <w:uiPriority w:val="39"/>
    <w:rsid w:val="00923112"/>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_1"/>
    <w:basedOn w:val="Rubrik2"/>
    <w:qFormat/>
    <w:rsid w:val="004200CC"/>
    <w:pPr>
      <w:numPr>
        <w:numId w:val="0"/>
      </w:numPr>
      <w:spacing w:after="220"/>
    </w:pPr>
    <w:rPr>
      <w:sz w:val="32"/>
      <w:szCs w:val="32"/>
      <w:lang w:val="en-US"/>
    </w:rPr>
  </w:style>
  <w:style w:type="character" w:styleId="AnvndHyperlnk">
    <w:name w:val="FollowedHyperlink"/>
    <w:basedOn w:val="Standardstycketeckensnitt"/>
    <w:uiPriority w:val="99"/>
    <w:semiHidden/>
    <w:unhideWhenUsed/>
    <w:rsid w:val="004200CC"/>
    <w:rPr>
      <w:color w:val="B0BABF" w:themeColor="followedHyperlink"/>
      <w:u w:val="single"/>
    </w:rPr>
  </w:style>
  <w:style w:type="character" w:customStyle="1" w:styleId="Rubrik4Char">
    <w:name w:val="Rubrik 4 Char"/>
    <w:basedOn w:val="Standardstycketeckensnitt"/>
    <w:link w:val="Rubrik4"/>
    <w:uiPriority w:val="9"/>
    <w:rsid w:val="00E37C68"/>
    <w:rPr>
      <w:rFonts w:ascii="Arial" w:hAnsi="Arial" w:cs="Arial"/>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AE394C3B104B299FF69F2804EC56C7"/>
        <w:category>
          <w:name w:val="Allmänt"/>
          <w:gallery w:val="placeholder"/>
        </w:category>
        <w:types>
          <w:type w:val="bbPlcHdr"/>
        </w:types>
        <w:behaviors>
          <w:behavior w:val="content"/>
        </w:behaviors>
        <w:guid w:val="{335E0457-D78A-4FBF-84EA-5FA739533DAE}"/>
      </w:docPartPr>
      <w:docPartBody>
        <w:p w:rsidR="00D37620" w:rsidRDefault="009A2535">
          <w:pPr>
            <w:pStyle w:val="5AAE394C3B104B299FF69F2804EC56C7"/>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20"/>
    <w:rsid w:val="001905A4"/>
    <w:rsid w:val="0025111A"/>
    <w:rsid w:val="002D6835"/>
    <w:rsid w:val="004F5057"/>
    <w:rsid w:val="006B2A84"/>
    <w:rsid w:val="00815FEF"/>
    <w:rsid w:val="008F12A8"/>
    <w:rsid w:val="009A2535"/>
    <w:rsid w:val="009E0F35"/>
    <w:rsid w:val="009F45D1"/>
    <w:rsid w:val="00B90E4D"/>
    <w:rsid w:val="00C55C22"/>
    <w:rsid w:val="00D37620"/>
    <w:rsid w:val="00D533F3"/>
    <w:rsid w:val="00DD5D58"/>
    <w:rsid w:val="00E11B7D"/>
    <w:rsid w:val="00E67B7D"/>
    <w:rsid w:val="00F5002A"/>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AE394C3B104B299FF69F2804EC56C7">
    <w:name w:val="5AAE394C3B104B299FF69F2804EC5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3.xml><?xml version="1.0" encoding="utf-8"?>
<ds:datastoreItem xmlns:ds="http://schemas.openxmlformats.org/officeDocument/2006/customXml" ds:itemID="{559B76C3-C7DB-4BF1-B56C-0ABF38745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9A1C5-1989-4F93-ADF6-1FC148661862}">
  <ds:schemaRefs>
    <ds:schemaRef ds:uri="http://schemas.microsoft.com/sharepoint/v3/contenttype/forms"/>
  </ds:schemaRefs>
</ds:datastoreItem>
</file>

<file path=customXml/itemProps5.xml><?xml version="1.0" encoding="utf-8"?>
<ds:datastoreItem xmlns:ds="http://schemas.openxmlformats.org/officeDocument/2006/customXml" ds:itemID="{D941510C-9895-46EA-8D61-64853348CE63}">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5335</Words>
  <Characters>28279</Characters>
  <Application>Microsoft Office Word</Application>
  <DocSecurity>0</DocSecurity>
  <Lines>235</Lines>
  <Paragraphs>67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Agreement for joint personal data controllership</vt:lpstr>
      <vt:lpstr/>
    </vt:vector>
  </TitlesOfParts>
  <Company/>
  <LinksUpToDate>false</LinksUpToDate>
  <CharactersWithSpaces>33547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joint personal data controllership</dc:title>
  <dc:subject/>
  <dc:creator>Region Skåne</dc:creator>
  <cp:keywords>DPIA, controllership, costs, liability, confidentiality</cp:keywords>
  <dc:description/>
  <cp:lastModifiedBy>Abels Mia</cp:lastModifiedBy>
  <cp:revision>3</cp:revision>
  <dcterms:created xsi:type="dcterms:W3CDTF">2022-08-30T11:10:00Z</dcterms:created>
  <dcterms:modified xsi:type="dcterms:W3CDTF">2022-10-06T07:29:00Z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